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4429"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THEORETICAL FOUNDATION AND THE LEGAL REGULATIONS OF SOVEREIGN WEALTH FUNDS </w:t>
      </w:r>
    </w:p>
    <w:p w14:paraId="19C5B8BB" w14:textId="77777777" w:rsidR="008F4F07" w:rsidRPr="0038608F" w:rsidRDefault="008F4F07" w:rsidP="008F4F07">
      <w:pPr>
        <w:pStyle w:val="pb-3"/>
        <w:numPr>
          <w:ilvl w:val="0"/>
          <w:numId w:val="4"/>
        </w:numPr>
        <w:spacing w:line="360" w:lineRule="auto"/>
        <w:jc w:val="both"/>
        <w:rPr>
          <w:color w:val="000000"/>
          <w:sz w:val="28"/>
          <w:szCs w:val="28"/>
          <w:lang w:val="en-US"/>
        </w:rPr>
      </w:pPr>
      <w:r>
        <w:rPr>
          <w:color w:val="000000"/>
          <w:sz w:val="28"/>
          <w:szCs w:val="28"/>
          <w:lang w:val="en-US"/>
        </w:rPr>
        <w:t xml:space="preserve">1 Definition and History of Sovereign Wealth Funds. </w:t>
      </w:r>
    </w:p>
    <w:p w14:paraId="514C9D9F" w14:textId="77777777" w:rsidR="008F4F07" w:rsidRPr="00834830" w:rsidRDefault="008F4F07" w:rsidP="008F4F07">
      <w:pPr>
        <w:spacing w:line="360" w:lineRule="auto"/>
        <w:jc w:val="both"/>
        <w:rPr>
          <w:rFonts w:ascii="Times New Roman" w:hAnsi="Times New Roman" w:cs="Times New Roman"/>
          <w:sz w:val="28"/>
          <w:szCs w:val="28"/>
          <w:lang w:val="en-US"/>
        </w:rPr>
      </w:pPr>
    </w:p>
    <w:p w14:paraId="0347C5BE" w14:textId="77777777" w:rsidR="008F4F07" w:rsidRDefault="008F4F07" w:rsidP="008F4F07">
      <w:pPr>
        <w:spacing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Over the years a lot of economists and everyone else in the world of finance have tried to come up with the exact definitions of SWFs. However, SWFs are a complex financial instrument that is still under research. This explains why we have more than one definition. This chapter looks to investigate some of the already established and accepted definitions of SWFs. The following are some of the definitions of sovereign wealth funds.</w:t>
      </w:r>
    </w:p>
    <w:p w14:paraId="7379A97E" w14:textId="77777777" w:rsidR="008F4F07" w:rsidRDefault="008F4F07" w:rsidP="008F4F07">
      <w:pPr>
        <w:pStyle w:val="ListParagraph"/>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Joshua Aizenman and Reuven Glick, Sovereign wealth funds are saving funds controlled by the government/state whose main purpose is to hold and manage foreign assets </w:t>
      </w:r>
      <w:sdt>
        <w:sdtPr>
          <w:rPr>
            <w:rFonts w:ascii="Times New Roman" w:hAnsi="Times New Roman" w:cs="Times New Roman"/>
            <w:sz w:val="28"/>
            <w:szCs w:val="28"/>
            <w:lang w:val="en-US"/>
          </w:rPr>
          <w:id w:val="1438870792"/>
          <w:citation/>
        </w:sdtPr>
        <w:sdtContent>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CITATION Jos08 \l 1033 </w:instrText>
          </w:r>
          <w:r>
            <w:rPr>
              <w:rFonts w:ascii="Times New Roman" w:hAnsi="Times New Roman" w:cs="Times New Roman"/>
              <w:sz w:val="28"/>
              <w:szCs w:val="28"/>
              <w:lang w:val="en-US"/>
            </w:rPr>
            <w:fldChar w:fldCharType="separate"/>
          </w:r>
          <w:r w:rsidRPr="003F0738">
            <w:rPr>
              <w:rFonts w:ascii="Times New Roman" w:hAnsi="Times New Roman" w:cs="Times New Roman"/>
              <w:noProof/>
              <w:sz w:val="28"/>
              <w:szCs w:val="28"/>
              <w:lang w:val="en-US"/>
            </w:rPr>
            <w:t>[1]</w:t>
          </w:r>
          <w:r>
            <w:rPr>
              <w:rFonts w:ascii="Times New Roman" w:hAnsi="Times New Roman" w:cs="Times New Roman"/>
              <w:sz w:val="28"/>
              <w:szCs w:val="28"/>
              <w:lang w:val="en-US"/>
            </w:rPr>
            <w:fldChar w:fldCharType="end"/>
          </w:r>
        </w:sdtContent>
      </w:sdt>
      <w:r>
        <w:rPr>
          <w:rFonts w:ascii="Times New Roman" w:hAnsi="Times New Roman" w:cs="Times New Roman"/>
          <w:sz w:val="28"/>
          <w:szCs w:val="28"/>
          <w:lang w:val="en-US"/>
        </w:rPr>
        <w:t xml:space="preserve">. </w:t>
      </w:r>
    </w:p>
    <w:p w14:paraId="1D682BB5" w14:textId="77777777" w:rsidR="008F4F07" w:rsidRPr="00DF26F8" w:rsidRDefault="008F4F07" w:rsidP="008F4F07">
      <w:pPr>
        <w:pStyle w:val="NormalWeb"/>
        <w:numPr>
          <w:ilvl w:val="0"/>
          <w:numId w:val="1"/>
        </w:numPr>
        <w:spacing w:line="360" w:lineRule="auto"/>
        <w:jc w:val="both"/>
        <w:rPr>
          <w:sz w:val="28"/>
          <w:szCs w:val="28"/>
        </w:rPr>
      </w:pPr>
      <w:r w:rsidRPr="00DF26F8">
        <w:rPr>
          <w:sz w:val="28"/>
          <w:szCs w:val="28"/>
        </w:rPr>
        <w:t>Sovereign wealth funds (SWFs) represent a large and growing pool of savings. An increasing number of these funds are owned by natural resource–exporting countries and have a variety of objectives, including intergenerational equity and macroeconomic stabilization. Traditionally, these funds have invested in external assets, especially securities traded in major markets</w:t>
      </w:r>
      <w:r>
        <w:rPr>
          <w:sz w:val="28"/>
          <w:szCs w:val="28"/>
          <w:lang w:val="en-US"/>
        </w:rPr>
        <w:t xml:space="preserve"> </w:t>
      </w:r>
      <w:sdt>
        <w:sdtPr>
          <w:rPr>
            <w:sz w:val="28"/>
            <w:szCs w:val="28"/>
            <w:lang w:val="en-US"/>
          </w:rPr>
          <w:id w:val="754168250"/>
          <w:citation/>
        </w:sdtPr>
        <w:sdtContent>
          <w:r>
            <w:rPr>
              <w:sz w:val="28"/>
              <w:szCs w:val="28"/>
              <w:lang w:val="en-US"/>
            </w:rPr>
            <w:fldChar w:fldCharType="begin"/>
          </w:r>
          <w:r>
            <w:rPr>
              <w:sz w:val="28"/>
              <w:szCs w:val="28"/>
              <w:lang w:val="en-US"/>
            </w:rPr>
            <w:instrText xml:space="preserve">CITATION Ala14 \l 1033 </w:instrText>
          </w:r>
          <w:r>
            <w:rPr>
              <w:sz w:val="28"/>
              <w:szCs w:val="28"/>
              <w:lang w:val="en-US"/>
            </w:rPr>
            <w:fldChar w:fldCharType="separate"/>
          </w:r>
          <w:r w:rsidRPr="003F0738">
            <w:rPr>
              <w:noProof/>
              <w:sz w:val="28"/>
              <w:szCs w:val="28"/>
              <w:lang w:val="en-US"/>
            </w:rPr>
            <w:t>[2]</w:t>
          </w:r>
          <w:r>
            <w:rPr>
              <w:sz w:val="28"/>
              <w:szCs w:val="28"/>
              <w:lang w:val="en-US"/>
            </w:rPr>
            <w:fldChar w:fldCharType="end"/>
          </w:r>
        </w:sdtContent>
      </w:sdt>
    </w:p>
    <w:p w14:paraId="40617C92" w14:textId="77777777" w:rsidR="008F4F07" w:rsidRDefault="008F4F07" w:rsidP="008F4F07">
      <w:pPr>
        <w:pStyle w:val="ListParagraph"/>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sovereign Wealth Fund is a government fund set up for specific macroeconomic purposes </w:t>
      </w:r>
      <w:sdt>
        <w:sdtPr>
          <w:rPr>
            <w:rFonts w:ascii="Times New Roman" w:hAnsi="Times New Roman" w:cs="Times New Roman"/>
            <w:sz w:val="28"/>
            <w:szCs w:val="28"/>
            <w:lang w:val="en-US"/>
          </w:rPr>
          <w:id w:val="-1739394731"/>
          <w:citation/>
        </w:sdtPr>
        <w:sdtContent>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CITATION IMF09 \l 1033 </w:instrText>
          </w:r>
          <w:r>
            <w:rPr>
              <w:rFonts w:ascii="Times New Roman" w:hAnsi="Times New Roman" w:cs="Times New Roman"/>
              <w:sz w:val="28"/>
              <w:szCs w:val="28"/>
              <w:lang w:val="en-US"/>
            </w:rPr>
            <w:fldChar w:fldCharType="separate"/>
          </w:r>
          <w:r w:rsidRPr="003F0738">
            <w:rPr>
              <w:rFonts w:ascii="Times New Roman" w:hAnsi="Times New Roman" w:cs="Times New Roman"/>
              <w:noProof/>
              <w:sz w:val="28"/>
              <w:szCs w:val="28"/>
              <w:lang w:val="en-US"/>
            </w:rPr>
            <w:t>[3]</w:t>
          </w:r>
          <w:r>
            <w:rPr>
              <w:rFonts w:ascii="Times New Roman" w:hAnsi="Times New Roman" w:cs="Times New Roman"/>
              <w:sz w:val="28"/>
              <w:szCs w:val="28"/>
              <w:lang w:val="en-US"/>
            </w:rPr>
            <w:fldChar w:fldCharType="end"/>
          </w:r>
        </w:sdtContent>
      </w:sdt>
    </w:p>
    <w:p w14:paraId="76F4C141" w14:textId="77777777" w:rsidR="008F4F07" w:rsidRDefault="008F4F07" w:rsidP="008F4F07">
      <w:pPr>
        <w:pStyle w:val="ListParagraph"/>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sovereign wealth fund is a state-owned fund usually derived from a country’s’ surplus reserves </w:t>
      </w:r>
      <w:sdt>
        <w:sdtPr>
          <w:rPr>
            <w:rFonts w:ascii="Times New Roman" w:hAnsi="Times New Roman" w:cs="Times New Roman"/>
            <w:sz w:val="28"/>
            <w:szCs w:val="28"/>
            <w:lang w:val="en-US"/>
          </w:rPr>
          <w:id w:val="-1297223485"/>
          <w:citation/>
        </w:sdtPr>
        <w:sdtContent>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CITATION Erm22 \l 1033 </w:instrText>
          </w:r>
          <w:r>
            <w:rPr>
              <w:rFonts w:ascii="Times New Roman" w:hAnsi="Times New Roman" w:cs="Times New Roman"/>
              <w:sz w:val="28"/>
              <w:szCs w:val="28"/>
              <w:lang w:val="en-US"/>
            </w:rPr>
            <w:fldChar w:fldCharType="separate"/>
          </w:r>
          <w:r w:rsidRPr="003F0738">
            <w:rPr>
              <w:rFonts w:ascii="Times New Roman" w:hAnsi="Times New Roman" w:cs="Times New Roman"/>
              <w:noProof/>
              <w:sz w:val="28"/>
              <w:szCs w:val="28"/>
              <w:lang w:val="en-US"/>
            </w:rPr>
            <w:t>[4]</w:t>
          </w:r>
          <w:r>
            <w:rPr>
              <w:rFonts w:ascii="Times New Roman" w:hAnsi="Times New Roman" w:cs="Times New Roman"/>
              <w:sz w:val="28"/>
              <w:szCs w:val="28"/>
              <w:lang w:val="en-US"/>
            </w:rPr>
            <w:fldChar w:fldCharType="end"/>
          </w:r>
        </w:sdtContent>
      </w:sdt>
    </w:p>
    <w:p w14:paraId="26A6E11D" w14:textId="77777777" w:rsidR="008F4F07" w:rsidRPr="0038608F" w:rsidRDefault="008F4F07" w:rsidP="008F4F07">
      <w:pPr>
        <w:pStyle w:val="ListParagraph"/>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Sovereign Wealth funds are pools of assets controlled by the government both indirectly and directly with the aim of achieving a national objective </w:t>
      </w:r>
      <w:sdt>
        <w:sdtPr>
          <w:rPr>
            <w:rFonts w:ascii="Times New Roman" w:hAnsi="Times New Roman" w:cs="Times New Roman"/>
            <w:sz w:val="28"/>
            <w:szCs w:val="28"/>
            <w:lang w:val="en-US"/>
          </w:rPr>
          <w:id w:val="-567959698"/>
          <w:citation/>
        </w:sdtPr>
        <w:sdtContent>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CITATION pwc20 \l 1033 </w:instrText>
          </w:r>
          <w:r>
            <w:rPr>
              <w:rFonts w:ascii="Times New Roman" w:hAnsi="Times New Roman" w:cs="Times New Roman"/>
              <w:sz w:val="28"/>
              <w:szCs w:val="28"/>
              <w:lang w:val="en-US"/>
            </w:rPr>
            <w:fldChar w:fldCharType="separate"/>
          </w:r>
          <w:r w:rsidRPr="003F0738">
            <w:rPr>
              <w:rFonts w:ascii="Times New Roman" w:hAnsi="Times New Roman" w:cs="Times New Roman"/>
              <w:noProof/>
              <w:sz w:val="28"/>
              <w:szCs w:val="28"/>
              <w:lang w:val="en-US"/>
            </w:rPr>
            <w:t>[5]</w:t>
          </w:r>
          <w:r>
            <w:rPr>
              <w:rFonts w:ascii="Times New Roman" w:hAnsi="Times New Roman" w:cs="Times New Roman"/>
              <w:sz w:val="28"/>
              <w:szCs w:val="28"/>
              <w:lang w:val="en-US"/>
            </w:rPr>
            <w:fldChar w:fldCharType="end"/>
          </w:r>
        </w:sdtContent>
      </w:sdt>
    </w:p>
    <w:p w14:paraId="6B16CACF" w14:textId="77777777" w:rsidR="008F4F07" w:rsidRDefault="008F4F07" w:rsidP="008F4F07">
      <w:pPr>
        <w:pStyle w:val="pb-3"/>
        <w:spacing w:line="360" w:lineRule="auto"/>
        <w:jc w:val="both"/>
        <w:rPr>
          <w:sz w:val="28"/>
          <w:szCs w:val="28"/>
          <w:lang w:val="en-US"/>
        </w:rPr>
      </w:pPr>
      <w:r w:rsidRPr="002364FF">
        <w:rPr>
          <w:color w:val="000000"/>
          <w:sz w:val="28"/>
          <w:szCs w:val="28"/>
        </w:rPr>
        <w:lastRenderedPageBreak/>
        <w:t>Sovereign wealth funds are considered a relatively new financial institution when compared to traditional banks, mutual funds, and insurance companies. These funds operate similarly to classical financial investment funds, engaging in strategies that involve investments in stocks, bonds, real estate, and other assets. Recently, there has been a significant increase in interest in sovereign wealth funds due to the substantial growth in the value of assets they manage. This growth is attributed to the rise in natural resources on the global market and a shift in their investment approach to acquiring larger stakes in globally significant companies</w:t>
      </w:r>
      <w:r>
        <w:rPr>
          <w:sz w:val="28"/>
          <w:szCs w:val="28"/>
          <w:lang w:val="en-US"/>
        </w:rPr>
        <w:t>.</w:t>
      </w:r>
      <w:sdt>
        <w:sdtPr>
          <w:rPr>
            <w:sz w:val="28"/>
            <w:szCs w:val="28"/>
            <w:lang w:val="en-US"/>
          </w:rPr>
          <w:id w:val="-294602307"/>
          <w:citation/>
        </w:sdtPr>
        <w:sdtContent>
          <w:r>
            <w:rPr>
              <w:sz w:val="28"/>
              <w:szCs w:val="28"/>
              <w:lang w:val="en-US"/>
            </w:rPr>
            <w:fldChar w:fldCharType="begin"/>
          </w:r>
          <w:r>
            <w:rPr>
              <w:sz w:val="28"/>
              <w:szCs w:val="28"/>
              <w:lang w:val="en-US"/>
            </w:rPr>
            <w:instrText xml:space="preserve"> CITATION Jan21 \l 1033 </w:instrText>
          </w:r>
          <w:r>
            <w:rPr>
              <w:sz w:val="28"/>
              <w:szCs w:val="28"/>
              <w:lang w:val="en-US"/>
            </w:rPr>
            <w:fldChar w:fldCharType="separate"/>
          </w:r>
          <w:r>
            <w:rPr>
              <w:noProof/>
              <w:sz w:val="28"/>
              <w:szCs w:val="28"/>
              <w:lang w:val="en-US"/>
            </w:rPr>
            <w:t xml:space="preserve"> </w:t>
          </w:r>
          <w:r w:rsidRPr="003F0738">
            <w:rPr>
              <w:noProof/>
              <w:sz w:val="28"/>
              <w:szCs w:val="28"/>
              <w:lang w:val="en-US"/>
            </w:rPr>
            <w:t>[9]</w:t>
          </w:r>
          <w:r>
            <w:rPr>
              <w:sz w:val="28"/>
              <w:szCs w:val="28"/>
              <w:lang w:val="en-US"/>
            </w:rPr>
            <w:fldChar w:fldCharType="end"/>
          </w:r>
        </w:sdtContent>
      </w:sdt>
      <w:r>
        <w:rPr>
          <w:sz w:val="28"/>
          <w:szCs w:val="28"/>
          <w:lang w:val="en-US"/>
        </w:rPr>
        <w:t xml:space="preserve"> </w:t>
      </w:r>
    </w:p>
    <w:p w14:paraId="646F46A8" w14:textId="77777777" w:rsidR="008F4F07" w:rsidRPr="002364FF" w:rsidRDefault="008F4F07" w:rsidP="008F4F07">
      <w:pPr>
        <w:pStyle w:val="pb-3"/>
        <w:spacing w:line="360" w:lineRule="auto"/>
        <w:jc w:val="both"/>
        <w:rPr>
          <w:color w:val="000000"/>
        </w:rPr>
      </w:pPr>
      <w:r>
        <w:rPr>
          <w:sz w:val="28"/>
          <w:szCs w:val="28"/>
          <w:lang w:val="en-US"/>
        </w:rPr>
        <w:t xml:space="preserve">According to the Sovereign wealth Fund institute, a SWF is a state-owned investment fund or entity sourced from balance of payment surplus, foreign currency operations, proceeds of Privatization, government transfer payment and fiscal surpluses resulting from exports </w:t>
      </w:r>
      <w:sdt>
        <w:sdtPr>
          <w:rPr>
            <w:sz w:val="28"/>
            <w:szCs w:val="28"/>
            <w:lang w:val="en-US"/>
          </w:rPr>
          <w:id w:val="-1619520151"/>
          <w:citation/>
        </w:sdtPr>
        <w:sdtContent>
          <w:r>
            <w:rPr>
              <w:sz w:val="28"/>
              <w:szCs w:val="28"/>
              <w:lang w:val="en-US"/>
            </w:rPr>
            <w:fldChar w:fldCharType="begin"/>
          </w:r>
          <w:r>
            <w:rPr>
              <w:sz w:val="28"/>
              <w:szCs w:val="28"/>
              <w:lang w:val="en-US"/>
            </w:rPr>
            <w:instrText xml:space="preserve"> CITATION Sov21 \l 1033 </w:instrText>
          </w:r>
          <w:r>
            <w:rPr>
              <w:sz w:val="28"/>
              <w:szCs w:val="28"/>
              <w:lang w:val="en-US"/>
            </w:rPr>
            <w:fldChar w:fldCharType="separate"/>
          </w:r>
          <w:r w:rsidRPr="003F0738">
            <w:rPr>
              <w:noProof/>
              <w:sz w:val="28"/>
              <w:szCs w:val="28"/>
              <w:lang w:val="en-US"/>
            </w:rPr>
            <w:t>[10]</w:t>
          </w:r>
          <w:r>
            <w:rPr>
              <w:sz w:val="28"/>
              <w:szCs w:val="28"/>
              <w:lang w:val="en-US"/>
            </w:rPr>
            <w:fldChar w:fldCharType="end"/>
          </w:r>
        </w:sdtContent>
      </w:sdt>
      <w:r>
        <w:rPr>
          <w:sz w:val="28"/>
          <w:szCs w:val="28"/>
          <w:lang w:val="en-US"/>
        </w:rPr>
        <w:t>.</w:t>
      </w:r>
    </w:p>
    <w:p w14:paraId="1BF684C2" w14:textId="77777777" w:rsidR="008F4F07" w:rsidRPr="0038608F" w:rsidRDefault="008F4F07" w:rsidP="008F4F07">
      <w:pPr>
        <w:pStyle w:val="NormalWeb"/>
        <w:spacing w:line="360" w:lineRule="auto"/>
        <w:jc w:val="both"/>
        <w:rPr>
          <w:sz w:val="28"/>
          <w:szCs w:val="28"/>
          <w:lang w:val="en-US"/>
        </w:rPr>
      </w:pPr>
      <w:r>
        <w:rPr>
          <w:sz w:val="28"/>
          <w:szCs w:val="28"/>
          <w:lang w:val="en-US"/>
        </w:rPr>
        <w:t xml:space="preserve">The 2008 -2009 financial bubble but which left most world economies in ruins has proved to be a catalyst in formation of new SWFs and growth of the already existing ones.  The financial crisis of 2008 caught most countries especially developing ones off-guard and as such the need for an emergency fund in cases of economic downturns rose and, in most cases, the said emergency fund comes in form of a SWF. </w:t>
      </w:r>
    </w:p>
    <w:p w14:paraId="5B4FC544" w14:textId="77777777" w:rsidR="008F4F07" w:rsidRDefault="008F4F07" w:rsidP="008F4F07">
      <w:pPr>
        <w:pStyle w:val="pb-3"/>
        <w:spacing w:line="360" w:lineRule="auto"/>
        <w:ind w:firstLine="720"/>
        <w:jc w:val="both"/>
        <w:rPr>
          <w:color w:val="000000"/>
          <w:sz w:val="28"/>
          <w:szCs w:val="28"/>
          <w:lang w:val="en-US"/>
        </w:rPr>
      </w:pPr>
      <w:r>
        <w:rPr>
          <w:color w:val="000000"/>
          <w:sz w:val="28"/>
          <w:szCs w:val="28"/>
          <w:lang w:val="en-US"/>
        </w:rPr>
        <w:t xml:space="preserve">The Evolution of SWFs </w:t>
      </w:r>
    </w:p>
    <w:p w14:paraId="1E4FA3C9" w14:textId="77777777" w:rsidR="008F4F07" w:rsidRDefault="008F4F07" w:rsidP="008F4F07">
      <w:pPr>
        <w:pStyle w:val="pb-3"/>
        <w:spacing w:line="360" w:lineRule="auto"/>
        <w:ind w:firstLine="720"/>
        <w:jc w:val="both"/>
        <w:rPr>
          <w:color w:val="000000"/>
          <w:sz w:val="28"/>
          <w:szCs w:val="28"/>
          <w:lang w:val="en-US"/>
        </w:rPr>
      </w:pPr>
      <w:r>
        <w:rPr>
          <w:color w:val="000000"/>
          <w:sz w:val="28"/>
          <w:szCs w:val="28"/>
          <w:lang w:val="en-US"/>
        </w:rPr>
        <w:t xml:space="preserve">To fully understand what SWFs are and how they operate we must first look at how they started, what prompted the setting up of the first SWF and why they were deemed to be so important in the first place such that every country now is either prompted to set up one or is already in the process of setting up. It is believed that the first usage of the term “Sovereign wealth Fund” first appeared in an article published in the Central Banking journal, under the heading “who </w:t>
      </w:r>
      <w:r>
        <w:rPr>
          <w:color w:val="000000"/>
          <w:sz w:val="28"/>
          <w:szCs w:val="28"/>
          <w:lang w:val="en-US"/>
        </w:rPr>
        <w:lastRenderedPageBreak/>
        <w:t xml:space="preserve">holds the wealth of nations?” by Andrew Rosanov in 2005.  However, Sovereign wealth funds did not come about in 2005, in fact the earliest sovereign wealth fund can be traced as far back as the 1950s. </w:t>
      </w:r>
    </w:p>
    <w:p w14:paraId="704B26F1" w14:textId="77777777" w:rsidR="008F4F07" w:rsidRDefault="008F4F07" w:rsidP="008F4F07">
      <w:pPr>
        <w:pStyle w:val="pb-3"/>
        <w:spacing w:line="360" w:lineRule="auto"/>
        <w:ind w:firstLine="720"/>
        <w:jc w:val="both"/>
        <w:rPr>
          <w:color w:val="000000"/>
          <w:sz w:val="28"/>
          <w:szCs w:val="28"/>
          <w:lang w:val="en-US"/>
        </w:rPr>
      </w:pPr>
      <w:r>
        <w:rPr>
          <w:color w:val="000000"/>
          <w:sz w:val="28"/>
          <w:szCs w:val="28"/>
          <w:lang w:val="en-US"/>
        </w:rPr>
        <w:t xml:space="preserve">The first Sovereign wealth fund was set up by the Kuwait government under the name Kuwait Investment Board in 1953.  Kuwait is an oil rich country and in the 1950s it benefited a lot because the increase in the demand for oil as the world made a transition from coal driven industries to oil driven industries. With so much surplus coming from oil, exports, the aim of KIB was to promote sustainable development and preserve wealth for future generations.  However, in 1965 KIB was replaced by Kuwait Investment office (KIO). The main goal for KIO was to introduce asset diversification and portfolios. In 1982 with much never-ending growth, the Kuwait Investment Authority was created to manage all the state funds. KIA became the parent organization for the already established KIO. Till date KIA remains one of the top Sovereign wealth funds and still maintains its goal of safeguarding national financial wealth for not only the current generation but also future generations </w:t>
      </w:r>
      <w:sdt>
        <w:sdtPr>
          <w:rPr>
            <w:color w:val="000000"/>
            <w:sz w:val="28"/>
            <w:szCs w:val="28"/>
            <w:lang w:val="en-US"/>
          </w:rPr>
          <w:id w:val="-503667502"/>
          <w:citation/>
        </w:sdtPr>
        <w:sdtContent>
          <w:r>
            <w:rPr>
              <w:color w:val="000000"/>
              <w:sz w:val="28"/>
              <w:szCs w:val="28"/>
              <w:lang w:val="en-US"/>
            </w:rPr>
            <w:fldChar w:fldCharType="begin"/>
          </w:r>
          <w:r>
            <w:rPr>
              <w:color w:val="000000"/>
              <w:sz w:val="28"/>
              <w:szCs w:val="28"/>
              <w:lang w:val="en-US"/>
            </w:rPr>
            <w:instrText xml:space="preserve">CITATION Kuw24 \l 1033 </w:instrText>
          </w:r>
          <w:r>
            <w:rPr>
              <w:color w:val="000000"/>
              <w:sz w:val="28"/>
              <w:szCs w:val="28"/>
              <w:lang w:val="en-US"/>
            </w:rPr>
            <w:fldChar w:fldCharType="separate"/>
          </w:r>
          <w:r w:rsidRPr="003F0738">
            <w:rPr>
              <w:noProof/>
              <w:color w:val="000000"/>
              <w:sz w:val="28"/>
              <w:szCs w:val="28"/>
              <w:lang w:val="en-US"/>
            </w:rPr>
            <w:t>[11]</w:t>
          </w:r>
          <w:r>
            <w:rPr>
              <w:color w:val="000000"/>
              <w:sz w:val="28"/>
              <w:szCs w:val="28"/>
              <w:lang w:val="en-US"/>
            </w:rPr>
            <w:fldChar w:fldCharType="end"/>
          </w:r>
        </w:sdtContent>
      </w:sdt>
      <w:r>
        <w:rPr>
          <w:color w:val="000000"/>
          <w:sz w:val="28"/>
          <w:szCs w:val="28"/>
          <w:lang w:val="en-US"/>
        </w:rPr>
        <w:t>.More sovereign wealth funds started to emerge: (I) The Abu Dhabi Investment Authority – 1976, (II) Singapore Government Investment Corporation – 1981, (III) Norway’s Government Pension Fund – 1990.  At the time of this research there are over 100 established Sovereign wealth funds in the world today and the number will only increase. Table 1 below shows the ten biggest SWFs in the world as of 2024.</w:t>
      </w:r>
    </w:p>
    <w:p w14:paraId="0E21CBFD" w14:textId="77777777" w:rsidR="008F4F07" w:rsidRPr="0038608F" w:rsidRDefault="008F4F07" w:rsidP="008F4F07">
      <w:pPr>
        <w:pStyle w:val="pb-3"/>
        <w:spacing w:line="360" w:lineRule="auto"/>
        <w:jc w:val="both"/>
        <w:rPr>
          <w:color w:val="000000"/>
          <w:sz w:val="28"/>
          <w:szCs w:val="28"/>
          <w:lang w:val="en-US"/>
        </w:rPr>
      </w:pPr>
      <w:r>
        <w:t xml:space="preserve">Table </w:t>
      </w:r>
      <w:r>
        <w:fldChar w:fldCharType="begin"/>
      </w:r>
      <w:r>
        <w:instrText xml:space="preserve"> SEQ Table \* ARABIC </w:instrText>
      </w:r>
      <w:r>
        <w:fldChar w:fldCharType="separate"/>
      </w:r>
      <w:r>
        <w:rPr>
          <w:noProof/>
        </w:rPr>
        <w:t>1</w:t>
      </w:r>
      <w:r>
        <w:rPr>
          <w:noProof/>
        </w:rPr>
        <w:fldChar w:fldCharType="end"/>
      </w:r>
      <w:r>
        <w:rPr>
          <w:lang w:val="en-US"/>
        </w:rPr>
        <w:t xml:space="preserve">. </w:t>
      </w:r>
      <w:r>
        <w:rPr>
          <w:color w:val="000000"/>
          <w:sz w:val="28"/>
          <w:szCs w:val="28"/>
          <w:lang w:val="en-US"/>
        </w:rPr>
        <w:t>World’s Top 10 SWFs Ranking by Assets Under Management (AUM)</w:t>
      </w:r>
    </w:p>
    <w:tbl>
      <w:tblPr>
        <w:tblStyle w:val="PlainTable1"/>
        <w:tblW w:w="0" w:type="auto"/>
        <w:tblLook w:val="04A0" w:firstRow="1" w:lastRow="0" w:firstColumn="1" w:lastColumn="0" w:noHBand="0" w:noVBand="1"/>
      </w:tblPr>
      <w:tblGrid>
        <w:gridCol w:w="3005"/>
        <w:gridCol w:w="3005"/>
        <w:gridCol w:w="3006"/>
      </w:tblGrid>
      <w:tr w:rsidR="008F4F07" w14:paraId="49680A16" w14:textId="77777777" w:rsidTr="00370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19B53B2" w14:textId="77777777" w:rsidR="008F4F07" w:rsidRDefault="008F4F07" w:rsidP="00370AD9">
            <w:pPr>
              <w:pStyle w:val="pb-3"/>
              <w:spacing w:line="360" w:lineRule="auto"/>
              <w:jc w:val="both"/>
              <w:rPr>
                <w:color w:val="000000"/>
                <w:sz w:val="28"/>
                <w:szCs w:val="28"/>
                <w:lang w:val="en-US"/>
              </w:rPr>
            </w:pPr>
            <w:r>
              <w:rPr>
                <w:color w:val="000000"/>
                <w:sz w:val="28"/>
                <w:szCs w:val="28"/>
                <w:lang w:val="en-US"/>
              </w:rPr>
              <w:t>Rank</w:t>
            </w:r>
          </w:p>
        </w:tc>
        <w:tc>
          <w:tcPr>
            <w:tcW w:w="3005" w:type="dxa"/>
          </w:tcPr>
          <w:p w14:paraId="7EE6A2A3" w14:textId="77777777" w:rsidR="008F4F07" w:rsidRDefault="008F4F07" w:rsidP="00370AD9">
            <w:pPr>
              <w:pStyle w:val="pb-3"/>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SWF</w:t>
            </w:r>
          </w:p>
        </w:tc>
        <w:tc>
          <w:tcPr>
            <w:tcW w:w="3006" w:type="dxa"/>
          </w:tcPr>
          <w:p w14:paraId="70FA3249" w14:textId="77777777" w:rsidR="008F4F07" w:rsidRDefault="008F4F07" w:rsidP="00370AD9">
            <w:pPr>
              <w:pStyle w:val="pb-3"/>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Total Assets (AUM)</w:t>
            </w:r>
          </w:p>
        </w:tc>
      </w:tr>
      <w:tr w:rsidR="008F4F07" w14:paraId="40841B05" w14:textId="77777777" w:rsidTr="0037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757D9AA"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40462946"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xml:space="preserve">Norway Government Pension Fund Global </w:t>
            </w:r>
          </w:p>
        </w:tc>
        <w:tc>
          <w:tcPr>
            <w:tcW w:w="3006" w:type="dxa"/>
          </w:tcPr>
          <w:p w14:paraId="5EAA2617"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$ 1,648, 082, 769, 953</w:t>
            </w:r>
          </w:p>
        </w:tc>
      </w:tr>
      <w:tr w:rsidR="008F4F07" w14:paraId="4AE11094" w14:textId="77777777" w:rsidTr="00370AD9">
        <w:tc>
          <w:tcPr>
            <w:cnfStyle w:val="001000000000" w:firstRow="0" w:lastRow="0" w:firstColumn="1" w:lastColumn="0" w:oddVBand="0" w:evenVBand="0" w:oddHBand="0" w:evenHBand="0" w:firstRowFirstColumn="0" w:firstRowLastColumn="0" w:lastRowFirstColumn="0" w:lastRowLastColumn="0"/>
            <w:tcW w:w="3005" w:type="dxa"/>
          </w:tcPr>
          <w:p w14:paraId="270D606A"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473894EE"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China Investment Corporation</w:t>
            </w:r>
          </w:p>
        </w:tc>
        <w:tc>
          <w:tcPr>
            <w:tcW w:w="3006" w:type="dxa"/>
          </w:tcPr>
          <w:p w14:paraId="60B640CE"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$1,350,000,000,000</w:t>
            </w:r>
          </w:p>
        </w:tc>
      </w:tr>
      <w:tr w:rsidR="008F4F07" w14:paraId="2C994DA6" w14:textId="77777777" w:rsidTr="0037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745CD44"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0BE078D5"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xml:space="preserve">SAFE Investment Corporation </w:t>
            </w:r>
          </w:p>
        </w:tc>
        <w:tc>
          <w:tcPr>
            <w:tcW w:w="3006" w:type="dxa"/>
          </w:tcPr>
          <w:p w14:paraId="3D882FA9"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$ 1,090,000,000,000</w:t>
            </w:r>
          </w:p>
        </w:tc>
      </w:tr>
      <w:tr w:rsidR="008F4F07" w14:paraId="1A407ABC" w14:textId="77777777" w:rsidTr="00370AD9">
        <w:tc>
          <w:tcPr>
            <w:cnfStyle w:val="001000000000" w:firstRow="0" w:lastRow="0" w:firstColumn="1" w:lastColumn="0" w:oddVBand="0" w:evenVBand="0" w:oddHBand="0" w:evenHBand="0" w:firstRowFirstColumn="0" w:firstRowLastColumn="0" w:lastRowFirstColumn="0" w:lastRowLastColumn="0"/>
            <w:tcW w:w="3005" w:type="dxa"/>
          </w:tcPr>
          <w:p w14:paraId="10449853"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3294526A"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 xml:space="preserve">Abu Dhabi Investment Authority </w:t>
            </w:r>
          </w:p>
        </w:tc>
        <w:tc>
          <w:tcPr>
            <w:tcW w:w="3006" w:type="dxa"/>
          </w:tcPr>
          <w:p w14:paraId="7F2A7110"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$ 993,000,000,000</w:t>
            </w:r>
          </w:p>
        </w:tc>
      </w:tr>
      <w:tr w:rsidR="008F4F07" w14:paraId="7108185F" w14:textId="77777777" w:rsidTr="0037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6B144F5"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49AF297E"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xml:space="preserve">Public Investment Fund </w:t>
            </w:r>
          </w:p>
        </w:tc>
        <w:tc>
          <w:tcPr>
            <w:tcW w:w="3006" w:type="dxa"/>
          </w:tcPr>
          <w:p w14:paraId="5FD7B358"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$ 925,000,000,000</w:t>
            </w:r>
          </w:p>
        </w:tc>
      </w:tr>
      <w:tr w:rsidR="008F4F07" w14:paraId="1BC8B2DB" w14:textId="77777777" w:rsidTr="00370AD9">
        <w:tc>
          <w:tcPr>
            <w:cnfStyle w:val="001000000000" w:firstRow="0" w:lastRow="0" w:firstColumn="1" w:lastColumn="0" w:oddVBand="0" w:evenVBand="0" w:oddHBand="0" w:evenHBand="0" w:firstRowFirstColumn="0" w:firstRowLastColumn="0" w:lastRowFirstColumn="0" w:lastRowLastColumn="0"/>
            <w:tcW w:w="3005" w:type="dxa"/>
          </w:tcPr>
          <w:p w14:paraId="5E9BF9CF"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20CB596F"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 xml:space="preserve">Kuwait investment Authority </w:t>
            </w:r>
          </w:p>
        </w:tc>
        <w:tc>
          <w:tcPr>
            <w:tcW w:w="3006" w:type="dxa"/>
          </w:tcPr>
          <w:p w14:paraId="3432CBFF"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$923,450,000,000</w:t>
            </w:r>
          </w:p>
        </w:tc>
      </w:tr>
      <w:tr w:rsidR="008F4F07" w14:paraId="53014836" w14:textId="77777777" w:rsidTr="0037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D823E64"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08A0836F"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 xml:space="preserve">GIC Private Limited </w:t>
            </w:r>
          </w:p>
        </w:tc>
        <w:tc>
          <w:tcPr>
            <w:tcW w:w="3006" w:type="dxa"/>
          </w:tcPr>
          <w:p w14:paraId="10DEEB9B"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$770,000,000,000</w:t>
            </w:r>
          </w:p>
        </w:tc>
      </w:tr>
      <w:tr w:rsidR="008F4F07" w14:paraId="2B958C4A" w14:textId="77777777" w:rsidTr="00370AD9">
        <w:tc>
          <w:tcPr>
            <w:cnfStyle w:val="001000000000" w:firstRow="0" w:lastRow="0" w:firstColumn="1" w:lastColumn="0" w:oddVBand="0" w:evenVBand="0" w:oddHBand="0" w:evenHBand="0" w:firstRowFirstColumn="0" w:firstRowLastColumn="0" w:lastRowFirstColumn="0" w:lastRowLastColumn="0"/>
            <w:tcW w:w="3005" w:type="dxa"/>
          </w:tcPr>
          <w:p w14:paraId="733C3494"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67BA005C"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Qatar Investment Authority</w:t>
            </w:r>
          </w:p>
        </w:tc>
        <w:tc>
          <w:tcPr>
            <w:tcW w:w="3006" w:type="dxa"/>
          </w:tcPr>
          <w:p w14:paraId="65ACA728"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$526,050,00,000</w:t>
            </w:r>
          </w:p>
        </w:tc>
      </w:tr>
      <w:tr w:rsidR="008F4F07" w14:paraId="7563E52A" w14:textId="77777777" w:rsidTr="00370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33B5CC"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11D20E75"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Hong Kong Monetary Authority Investment Portfolio</w:t>
            </w:r>
          </w:p>
        </w:tc>
        <w:tc>
          <w:tcPr>
            <w:tcW w:w="3006" w:type="dxa"/>
          </w:tcPr>
          <w:p w14:paraId="42814C96" w14:textId="77777777" w:rsidR="008F4F07" w:rsidRDefault="008F4F07" w:rsidP="00370AD9">
            <w:pPr>
              <w:pStyle w:val="pb-3"/>
              <w:spacing w:line="360" w:lineRule="auto"/>
              <w:jc w:val="both"/>
              <w:cnfStyle w:val="000000100000" w:firstRow="0" w:lastRow="0" w:firstColumn="0" w:lastColumn="0" w:oddVBand="0" w:evenVBand="0" w:oddHBand="1" w:evenHBand="0" w:firstRowFirstColumn="0" w:firstRowLastColumn="0" w:lastRowFirstColumn="0" w:lastRowLastColumn="0"/>
              <w:rPr>
                <w:color w:val="000000"/>
                <w:sz w:val="28"/>
                <w:szCs w:val="28"/>
                <w:lang w:val="en-US"/>
              </w:rPr>
            </w:pPr>
            <w:r>
              <w:rPr>
                <w:color w:val="000000"/>
                <w:sz w:val="28"/>
                <w:szCs w:val="28"/>
                <w:lang w:val="en-US"/>
              </w:rPr>
              <w:t>$514,223,020,000</w:t>
            </w:r>
          </w:p>
        </w:tc>
      </w:tr>
      <w:tr w:rsidR="008F4F07" w14:paraId="6C66C700" w14:textId="77777777" w:rsidTr="00370AD9">
        <w:tc>
          <w:tcPr>
            <w:cnfStyle w:val="001000000000" w:firstRow="0" w:lastRow="0" w:firstColumn="1" w:lastColumn="0" w:oddVBand="0" w:evenVBand="0" w:oddHBand="0" w:evenHBand="0" w:firstRowFirstColumn="0" w:firstRowLastColumn="0" w:lastRowFirstColumn="0" w:lastRowLastColumn="0"/>
            <w:tcW w:w="3005" w:type="dxa"/>
          </w:tcPr>
          <w:p w14:paraId="145B71D3" w14:textId="77777777" w:rsidR="008F4F07" w:rsidRDefault="008F4F07" w:rsidP="008F4F07">
            <w:pPr>
              <w:pStyle w:val="pb-3"/>
              <w:numPr>
                <w:ilvl w:val="0"/>
                <w:numId w:val="3"/>
              </w:numPr>
              <w:spacing w:line="360" w:lineRule="auto"/>
              <w:jc w:val="both"/>
              <w:rPr>
                <w:color w:val="000000"/>
                <w:sz w:val="28"/>
                <w:szCs w:val="28"/>
                <w:lang w:val="en-US"/>
              </w:rPr>
            </w:pPr>
          </w:p>
        </w:tc>
        <w:tc>
          <w:tcPr>
            <w:tcW w:w="3005" w:type="dxa"/>
          </w:tcPr>
          <w:p w14:paraId="132A5EFB"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 xml:space="preserve">Temasek Holdings </w:t>
            </w:r>
          </w:p>
        </w:tc>
        <w:tc>
          <w:tcPr>
            <w:tcW w:w="3006" w:type="dxa"/>
          </w:tcPr>
          <w:p w14:paraId="5B8A86EB" w14:textId="77777777" w:rsidR="008F4F07" w:rsidRDefault="008F4F07" w:rsidP="00370AD9">
            <w:pPr>
              <w:pStyle w:val="pb-3"/>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8"/>
                <w:szCs w:val="28"/>
                <w:lang w:val="en-US"/>
              </w:rPr>
            </w:pPr>
            <w:r>
              <w:rPr>
                <w:color w:val="000000"/>
                <w:sz w:val="28"/>
                <w:szCs w:val="28"/>
                <w:lang w:val="en-US"/>
              </w:rPr>
              <w:t>$492,208,248,00</w:t>
            </w:r>
          </w:p>
        </w:tc>
      </w:tr>
    </w:tbl>
    <w:p w14:paraId="3DED3ED7"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Source: </w:t>
      </w:r>
      <w:hyperlink r:id="rId8" w:history="1">
        <w:r w:rsidRPr="003B54D8">
          <w:rPr>
            <w:rStyle w:val="Hyperlink"/>
            <w:rFonts w:eastAsiaTheme="majorEastAsia"/>
            <w:sz w:val="28"/>
            <w:szCs w:val="28"/>
            <w:lang w:val="en-US"/>
          </w:rPr>
          <w:t>SWFI</w:t>
        </w:r>
      </w:hyperlink>
      <w:r>
        <w:rPr>
          <w:color w:val="000000"/>
          <w:sz w:val="28"/>
          <w:szCs w:val="28"/>
          <w:lang w:val="en-US"/>
        </w:rPr>
        <w:t xml:space="preserve"> (Sovereign Wealth Fund Institute)</w:t>
      </w:r>
      <w:r>
        <w:rPr>
          <w:rStyle w:val="FootnoteReference"/>
          <w:color w:val="000000"/>
          <w:sz w:val="28"/>
          <w:szCs w:val="28"/>
          <w:lang w:val="en-US"/>
        </w:rPr>
        <w:footnoteReference w:id="1"/>
      </w:r>
    </w:p>
    <w:p w14:paraId="5190910D" w14:textId="77777777" w:rsidR="008F4F07" w:rsidRPr="0038608F" w:rsidRDefault="008F4F07" w:rsidP="008F4F07">
      <w:pPr>
        <w:pStyle w:val="pb-3"/>
        <w:spacing w:line="360" w:lineRule="auto"/>
        <w:jc w:val="both"/>
        <w:rPr>
          <w:color w:val="000000"/>
          <w:sz w:val="28"/>
          <w:szCs w:val="28"/>
          <w:lang w:val="en-US"/>
        </w:rPr>
      </w:pPr>
      <w:r>
        <w:rPr>
          <w:color w:val="000000"/>
          <w:sz w:val="28"/>
          <w:szCs w:val="28"/>
          <w:lang w:val="en-US"/>
        </w:rPr>
        <w:t>Focusing strictly on SWFs, according to the 2023 Annual Report by the Global SWF: the high prices of natural resources, particularly oil has contributed greatly to the increase in assets under management of SWFs. For the year 2023, the value of SWFs’ AUM stood at a value of $11.2 trillion from $7.4 trillion in 2018.  This shows an increase of 51.35 percent over the course of six years. This sharp increase over the years just shows the attention that investors are allocating towards SWFs.</w:t>
      </w:r>
    </w:p>
    <w:p w14:paraId="32197C7C" w14:textId="77777777" w:rsidR="008F4F07" w:rsidRDefault="008F4F07" w:rsidP="008F4F07">
      <w:pPr>
        <w:pStyle w:val="pb-3"/>
        <w:spacing w:line="360" w:lineRule="auto"/>
        <w:jc w:val="both"/>
        <w:rPr>
          <w:b/>
          <w:bCs/>
          <w:color w:val="000000"/>
          <w:sz w:val="28"/>
          <w:szCs w:val="28"/>
          <w:lang w:val="en-US"/>
        </w:rPr>
      </w:pPr>
      <w:r>
        <w:rPr>
          <w:b/>
          <w:bCs/>
          <w:color w:val="000000"/>
          <w:sz w:val="28"/>
          <w:szCs w:val="28"/>
          <w:lang w:val="en-US"/>
        </w:rPr>
        <w:t xml:space="preserve">Sovereign wealth Funds Objectives </w:t>
      </w:r>
    </w:p>
    <w:p w14:paraId="16C975F2"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lastRenderedPageBreak/>
        <w:t xml:space="preserve">As we have already established, SWFs were set up because oil rich countries had enough surplus and needed to preserve the surplus for future generations. Nonetheless not all resource rich countries thrived economically. In fact, the term Dutch disease was constantly used to describe these resource rich countries who despite having all these abundant resources continued to struggle. </w:t>
      </w:r>
    </w:p>
    <w:p w14:paraId="49BE70AC"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The term Dutch Disease is used to describe a situation in which an increase or improvement in one sector of the economy and in this case the resource industry leads to a decrease/ decline in other sectors. It was first used by the Economist magazine in 1977 to describe the decline of certain sectors of the Dutch/Netherlands’ economy, specifically the manufacturing sector which after the discovery of gas fields in the country.  The Dutch disease is a clear illustration of what happens when the country puts all its eggs in one bucket. Nonetheless, there is a way for resource rich countries to avoid the Dutch disease and that is through Economic or Industrial Diversification and SWFs are one of the components that promote this. Natural Resources are “wasting Assets” in nature hence ensuring that the revenue collected from is well invested can be beneficial for the country, especially in the cases when thee prices fluctuate, or worse off the resource runs out.</w:t>
      </w:r>
    </w:p>
    <w:p w14:paraId="29F55352"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Another Important Function of SWFs is to save for the Future: this is very important in securing the financial security of a country. SWFs act as long-term Savings Investment accounts. In additional SWFs can also be the go-to national emergency Account during economic downturns and crises.</w:t>
      </w:r>
    </w:p>
    <w:p w14:paraId="438A4CA7"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As the number of SWFs increase so do the roles they play. One of those roles includes: SWFs acting as anchors of Economic and Social development. This is specially very important for developing countries. According to a 2023 report by the United Nations Conference on Trade and Development. It was disclosed that to implement infrastructure development, developing Countries would require a </w:t>
      </w:r>
      <w:r>
        <w:rPr>
          <w:color w:val="000000"/>
          <w:sz w:val="28"/>
          <w:szCs w:val="28"/>
          <w:lang w:val="en-US"/>
        </w:rPr>
        <w:lastRenderedPageBreak/>
        <w:t xml:space="preserve">whopping $1.7 trillion per year </w:t>
      </w:r>
      <w:sdt>
        <w:sdtPr>
          <w:rPr>
            <w:color w:val="000000"/>
            <w:sz w:val="28"/>
            <w:szCs w:val="28"/>
          </w:rPr>
          <w:id w:val="-618983080"/>
          <w:citation/>
        </w:sdtPr>
        <w:sdtContent>
          <w:r>
            <w:rPr>
              <w:color w:val="000000"/>
              <w:sz w:val="28"/>
              <w:szCs w:val="28"/>
            </w:rPr>
            <w:fldChar w:fldCharType="begin"/>
          </w:r>
          <w:r>
            <w:rPr>
              <w:color w:val="000000"/>
              <w:sz w:val="28"/>
              <w:szCs w:val="28"/>
              <w:lang w:val="en-US"/>
            </w:rPr>
            <w:instrText xml:space="preserve"> CITATION UNC23 \l 1033 </w:instrText>
          </w:r>
          <w:r>
            <w:rPr>
              <w:color w:val="000000"/>
              <w:sz w:val="28"/>
              <w:szCs w:val="28"/>
            </w:rPr>
            <w:fldChar w:fldCharType="separate"/>
          </w:r>
          <w:r w:rsidRPr="003F0738">
            <w:rPr>
              <w:noProof/>
              <w:color w:val="000000"/>
              <w:sz w:val="28"/>
              <w:szCs w:val="28"/>
              <w:lang w:val="en-US"/>
            </w:rPr>
            <w:t>[12]</w:t>
          </w:r>
          <w:r>
            <w:rPr>
              <w:color w:val="000000"/>
              <w:sz w:val="28"/>
              <w:szCs w:val="28"/>
            </w:rPr>
            <w:fldChar w:fldCharType="end"/>
          </w:r>
        </w:sdtContent>
      </w:sdt>
      <w:r w:rsidRPr="00C85872">
        <w:rPr>
          <w:color w:val="000000"/>
          <w:sz w:val="28"/>
          <w:szCs w:val="28"/>
        </w:rPr>
        <w:t xml:space="preserve">. </w:t>
      </w:r>
      <w:r>
        <w:rPr>
          <w:color w:val="000000"/>
          <w:sz w:val="28"/>
          <w:szCs w:val="28"/>
          <w:lang w:val="en-US"/>
        </w:rPr>
        <w:t xml:space="preserve"> One notable example is </w:t>
      </w:r>
      <w:proofErr w:type="spellStart"/>
      <w:r>
        <w:rPr>
          <w:color w:val="000000"/>
          <w:sz w:val="28"/>
          <w:szCs w:val="28"/>
          <w:lang w:val="en-US"/>
        </w:rPr>
        <w:t>WrenHouse</w:t>
      </w:r>
      <w:proofErr w:type="spellEnd"/>
      <w:r>
        <w:rPr>
          <w:color w:val="000000"/>
          <w:sz w:val="28"/>
          <w:szCs w:val="28"/>
          <w:lang w:val="en-US"/>
        </w:rPr>
        <w:t xml:space="preserve">, a firm under the Kuwait Investment Authority: Kuwait’s SWF, which focuses on infrastructure development in Europe with the main goal of delivering risk-adjusted returns across private equity </w:t>
      </w:r>
      <w:sdt>
        <w:sdtPr>
          <w:rPr>
            <w:color w:val="000000"/>
            <w:sz w:val="28"/>
            <w:szCs w:val="28"/>
            <w:lang w:val="en-US"/>
          </w:rPr>
          <w:id w:val="1977795621"/>
          <w:citation/>
        </w:sdtPr>
        <w:sdtContent>
          <w:r>
            <w:rPr>
              <w:color w:val="000000"/>
              <w:sz w:val="28"/>
              <w:szCs w:val="28"/>
              <w:lang w:val="en-US"/>
            </w:rPr>
            <w:fldChar w:fldCharType="begin"/>
          </w:r>
          <w:r>
            <w:rPr>
              <w:color w:val="000000"/>
              <w:sz w:val="28"/>
              <w:szCs w:val="28"/>
              <w:lang w:val="en-US"/>
            </w:rPr>
            <w:instrText xml:space="preserve"> CITATION Wre23 \l 1033 </w:instrText>
          </w:r>
          <w:r>
            <w:rPr>
              <w:color w:val="000000"/>
              <w:sz w:val="28"/>
              <w:szCs w:val="28"/>
              <w:lang w:val="en-US"/>
            </w:rPr>
            <w:fldChar w:fldCharType="separate"/>
          </w:r>
          <w:r w:rsidRPr="003F0738">
            <w:rPr>
              <w:noProof/>
              <w:color w:val="000000"/>
              <w:sz w:val="28"/>
              <w:szCs w:val="28"/>
              <w:lang w:val="en-US"/>
            </w:rPr>
            <w:t>[13]</w:t>
          </w:r>
          <w:r>
            <w:rPr>
              <w:color w:val="000000"/>
              <w:sz w:val="28"/>
              <w:szCs w:val="28"/>
              <w:lang w:val="en-US"/>
            </w:rPr>
            <w:fldChar w:fldCharType="end"/>
          </w:r>
        </w:sdtContent>
      </w:sdt>
      <w:r>
        <w:rPr>
          <w:color w:val="000000"/>
          <w:sz w:val="28"/>
          <w:szCs w:val="28"/>
          <w:lang w:val="en-US"/>
        </w:rPr>
        <w:t xml:space="preserve">. </w:t>
      </w:r>
    </w:p>
    <w:p w14:paraId="2BAB70AB" w14:textId="77777777" w:rsidR="008F4F07" w:rsidRDefault="008F4F07" w:rsidP="008F4F07">
      <w:pPr>
        <w:pStyle w:val="pb-3"/>
        <w:spacing w:line="360" w:lineRule="auto"/>
        <w:jc w:val="both"/>
        <w:rPr>
          <w:color w:val="000000"/>
          <w:sz w:val="28"/>
          <w:szCs w:val="28"/>
        </w:rPr>
      </w:pPr>
      <w:r>
        <w:rPr>
          <w:color w:val="000000"/>
          <w:sz w:val="28"/>
          <w:szCs w:val="28"/>
          <w:lang w:val="en-US"/>
        </w:rPr>
        <w:t xml:space="preserve">Furthermore, SWFs also play quite a huge part in spearheading the financing of Social Development in both education and healthcare. Temasek Holdings of Singapore formed a charitable organization called Temasek Foundation dedicated supporting education and research. </w:t>
      </w:r>
      <w:sdt>
        <w:sdtPr>
          <w:rPr>
            <w:color w:val="000000"/>
            <w:sz w:val="28"/>
            <w:szCs w:val="28"/>
          </w:rPr>
          <w:id w:val="-1238627774"/>
          <w:citation/>
        </w:sdtPr>
        <w:sdtContent>
          <w:r>
            <w:rPr>
              <w:color w:val="000000"/>
              <w:sz w:val="28"/>
              <w:szCs w:val="28"/>
            </w:rPr>
            <w:fldChar w:fldCharType="begin"/>
          </w:r>
          <w:r>
            <w:rPr>
              <w:color w:val="000000"/>
              <w:sz w:val="28"/>
              <w:szCs w:val="28"/>
              <w:lang w:val="en-US"/>
            </w:rPr>
            <w:instrText xml:space="preserve">CITATION Tam23 \l 1033 </w:instrText>
          </w:r>
          <w:r>
            <w:rPr>
              <w:color w:val="000000"/>
              <w:sz w:val="28"/>
              <w:szCs w:val="28"/>
            </w:rPr>
            <w:fldChar w:fldCharType="separate"/>
          </w:r>
          <w:r w:rsidRPr="003F0738">
            <w:rPr>
              <w:noProof/>
              <w:color w:val="000000"/>
              <w:sz w:val="28"/>
              <w:szCs w:val="28"/>
              <w:lang w:val="en-US"/>
            </w:rPr>
            <w:t>[14]</w:t>
          </w:r>
          <w:r>
            <w:rPr>
              <w:color w:val="000000"/>
              <w:sz w:val="28"/>
              <w:szCs w:val="28"/>
            </w:rPr>
            <w:fldChar w:fldCharType="end"/>
          </w:r>
        </w:sdtContent>
      </w:sdt>
      <w:r w:rsidRPr="00C85872">
        <w:rPr>
          <w:color w:val="000000"/>
          <w:sz w:val="28"/>
          <w:szCs w:val="28"/>
        </w:rPr>
        <w:t xml:space="preserve">. </w:t>
      </w:r>
    </w:p>
    <w:p w14:paraId="6B0E2D54"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The Government Pension Fund of Norway is another Sovereign Wealth Fund involved in social development. The fund is a major component of the Norwegian model. Its combination with the social welfare Programs creates systems to promote high standards of living. </w:t>
      </w:r>
    </w:p>
    <w:p w14:paraId="19EDEE39"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Another important Objective is the promotion of the use of Renewable Energy: </w:t>
      </w:r>
    </w:p>
    <w:p w14:paraId="57D8BA2D"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The Qatar Investment Authority (QIA) is one perfect example of this. In 2021 the Qatar investment Authority made an investment in the development of Renewables in Sub-Saharan African countries of Zambia and South Africa </w:t>
      </w:r>
      <w:sdt>
        <w:sdtPr>
          <w:rPr>
            <w:color w:val="000000"/>
            <w:sz w:val="28"/>
            <w:szCs w:val="28"/>
            <w:lang w:val="en-US"/>
          </w:rPr>
          <w:id w:val="-387580086"/>
          <w:citation/>
        </w:sdtPr>
        <w:sdtContent>
          <w:r>
            <w:rPr>
              <w:color w:val="000000"/>
              <w:sz w:val="28"/>
              <w:szCs w:val="28"/>
              <w:lang w:val="en-US"/>
            </w:rPr>
            <w:fldChar w:fldCharType="begin"/>
          </w:r>
          <w:r>
            <w:rPr>
              <w:color w:val="000000"/>
              <w:sz w:val="28"/>
              <w:szCs w:val="28"/>
              <w:lang w:val="en-US"/>
            </w:rPr>
            <w:instrText xml:space="preserve"> CITATION Ene21 \l 1033 </w:instrText>
          </w:r>
          <w:r>
            <w:rPr>
              <w:color w:val="000000"/>
              <w:sz w:val="28"/>
              <w:szCs w:val="28"/>
              <w:lang w:val="en-US"/>
            </w:rPr>
            <w:fldChar w:fldCharType="separate"/>
          </w:r>
          <w:r w:rsidRPr="003F0738">
            <w:rPr>
              <w:noProof/>
              <w:color w:val="000000"/>
              <w:sz w:val="28"/>
              <w:szCs w:val="28"/>
              <w:lang w:val="en-US"/>
            </w:rPr>
            <w:t>[15]</w:t>
          </w:r>
          <w:r>
            <w:rPr>
              <w:color w:val="000000"/>
              <w:sz w:val="28"/>
              <w:szCs w:val="28"/>
              <w:lang w:val="en-US"/>
            </w:rPr>
            <w:fldChar w:fldCharType="end"/>
          </w:r>
        </w:sdtContent>
      </w:sdt>
      <w:r>
        <w:rPr>
          <w:color w:val="000000"/>
          <w:sz w:val="28"/>
          <w:szCs w:val="28"/>
          <w:lang w:val="en-US"/>
        </w:rPr>
        <w:t xml:space="preserve">. This shows the commitment and contribution of this SWF in fighting and reducing climate change, which is one of the most destructive issues dealing with the world today. </w:t>
      </w:r>
    </w:p>
    <w:p w14:paraId="306B3667" w14:textId="77777777" w:rsidR="008F4F07" w:rsidRPr="0038608F" w:rsidRDefault="008F4F07" w:rsidP="008F4F07">
      <w:pPr>
        <w:pStyle w:val="pb-3"/>
        <w:spacing w:line="360" w:lineRule="auto"/>
        <w:jc w:val="both"/>
        <w:rPr>
          <w:color w:val="000000"/>
          <w:sz w:val="28"/>
          <w:szCs w:val="28"/>
          <w:lang w:val="en-US"/>
        </w:rPr>
      </w:pPr>
      <w:r w:rsidRPr="002B2B50">
        <w:rPr>
          <w:color w:val="000000"/>
          <w:sz w:val="28"/>
          <w:szCs w:val="28"/>
        </w:rPr>
        <w:t>SWFs assist monetary authorities in eliminating unwanted liquidity</w:t>
      </w:r>
      <w:r>
        <w:rPr>
          <w:color w:val="000000"/>
          <w:sz w:val="28"/>
          <w:szCs w:val="28"/>
          <w:lang w:val="en-US"/>
        </w:rPr>
        <w:t xml:space="preserve">: Liquidity in National economy is the money in the savings account that can be accessed in case of any financial setback. When economies have a surplus, most of the times the National central Bank often fails to effectively manage the excess. SWFs in this case are one of the best alternatives to taking up this unwanted liquidity and making sure it is effectively used and redirected towards long term investments. For example, Norway’s Global public pension Fund Global works together with </w:t>
      </w:r>
      <w:r>
        <w:rPr>
          <w:color w:val="000000"/>
          <w:sz w:val="28"/>
          <w:szCs w:val="28"/>
          <w:lang w:val="en-US"/>
        </w:rPr>
        <w:lastRenderedPageBreak/>
        <w:t xml:space="preserve">the </w:t>
      </w:r>
      <w:proofErr w:type="spellStart"/>
      <w:r>
        <w:rPr>
          <w:color w:val="000000"/>
          <w:sz w:val="28"/>
          <w:szCs w:val="28"/>
          <w:lang w:val="en-US"/>
        </w:rPr>
        <w:t>Norges</w:t>
      </w:r>
      <w:proofErr w:type="spellEnd"/>
      <w:r>
        <w:rPr>
          <w:color w:val="000000"/>
          <w:sz w:val="28"/>
          <w:szCs w:val="28"/>
          <w:lang w:val="en-US"/>
        </w:rPr>
        <w:t xml:space="preserve"> Bank to take up the excess liquidity by reinvesting in Fixed Income markets. This in turn reduces potential effects of unwanted liquidity.</w:t>
      </w:r>
    </w:p>
    <w:p w14:paraId="1C12D008" w14:textId="77777777" w:rsidR="008F4F07" w:rsidRPr="0038608F" w:rsidRDefault="008F4F07" w:rsidP="008F4F07">
      <w:pPr>
        <w:pStyle w:val="ListParagraph"/>
        <w:numPr>
          <w:ilvl w:val="1"/>
          <w:numId w:val="4"/>
        </w:numPr>
        <w:spacing w:before="100" w:beforeAutospacing="1" w:after="100" w:afterAutospacing="1" w:line="360" w:lineRule="auto"/>
        <w:jc w:val="both"/>
        <w:rPr>
          <w:rFonts w:ascii="Times New Roman" w:eastAsia="Times New Roman" w:hAnsi="Times New Roman" w:cs="Times New Roman"/>
          <w:b/>
          <w:bCs/>
          <w:color w:val="000000"/>
          <w:kern w:val="0"/>
          <w:sz w:val="28"/>
          <w:szCs w:val="28"/>
          <w:lang w:val="en-US" w:eastAsia="en-GB"/>
          <w14:ligatures w14:val="none"/>
        </w:rPr>
      </w:pPr>
      <w:r>
        <w:rPr>
          <w:rFonts w:ascii="Times New Roman" w:eastAsia="Times New Roman" w:hAnsi="Times New Roman" w:cs="Times New Roman"/>
          <w:b/>
          <w:bCs/>
          <w:color w:val="000000"/>
          <w:kern w:val="0"/>
          <w:sz w:val="28"/>
          <w:szCs w:val="28"/>
          <w:lang w:val="en-US" w:eastAsia="en-GB"/>
          <w14:ligatures w14:val="none"/>
        </w:rPr>
        <w:t xml:space="preserve"> </w:t>
      </w:r>
      <w:r w:rsidRPr="0038608F">
        <w:rPr>
          <w:rFonts w:ascii="Times New Roman" w:eastAsia="Times New Roman" w:hAnsi="Times New Roman" w:cs="Times New Roman"/>
          <w:b/>
          <w:bCs/>
          <w:color w:val="000000"/>
          <w:kern w:val="0"/>
          <w:sz w:val="28"/>
          <w:szCs w:val="28"/>
          <w:lang w:val="en-US" w:eastAsia="en-GB"/>
          <w14:ligatures w14:val="none"/>
        </w:rPr>
        <w:t xml:space="preserve">Case study 1: Norwegian Sovereign </w:t>
      </w:r>
      <w:r>
        <w:rPr>
          <w:rFonts w:ascii="Times New Roman" w:eastAsia="Times New Roman" w:hAnsi="Times New Roman" w:cs="Times New Roman"/>
          <w:b/>
          <w:bCs/>
          <w:color w:val="000000"/>
          <w:kern w:val="0"/>
          <w:sz w:val="28"/>
          <w:szCs w:val="28"/>
          <w:lang w:val="en-US" w:eastAsia="en-GB"/>
          <w14:ligatures w14:val="none"/>
        </w:rPr>
        <w:t>W</w:t>
      </w:r>
      <w:r w:rsidRPr="0038608F">
        <w:rPr>
          <w:rFonts w:ascii="Times New Roman" w:eastAsia="Times New Roman" w:hAnsi="Times New Roman" w:cs="Times New Roman"/>
          <w:b/>
          <w:bCs/>
          <w:color w:val="000000"/>
          <w:kern w:val="0"/>
          <w:sz w:val="28"/>
          <w:szCs w:val="28"/>
          <w:lang w:val="en-US" w:eastAsia="en-GB"/>
          <w14:ligatures w14:val="none"/>
        </w:rPr>
        <w:t xml:space="preserve">ealth Fund: </w:t>
      </w:r>
    </w:p>
    <w:p w14:paraId="18C388BE" w14:textId="77777777" w:rsidR="008F4F07" w:rsidRDefault="008F4F07" w:rsidP="008F4F07">
      <w:pPr>
        <w:spacing w:before="100" w:beforeAutospacing="1" w:after="100" w:afterAutospacing="1" w:line="360" w:lineRule="auto"/>
        <w:jc w:val="both"/>
        <w:rPr>
          <w:rFonts w:ascii="Times New Roman" w:eastAsia="Times New Roman" w:hAnsi="Times New Roman" w:cs="Times New Roman"/>
          <w:color w:val="000000"/>
          <w:kern w:val="0"/>
          <w:sz w:val="28"/>
          <w:szCs w:val="28"/>
          <w:lang w:val="en-US" w:eastAsia="en-GB"/>
          <w14:ligatures w14:val="none"/>
        </w:rPr>
      </w:pPr>
      <w:r>
        <w:rPr>
          <w:rFonts w:ascii="Times New Roman" w:eastAsia="Times New Roman" w:hAnsi="Times New Roman" w:cs="Times New Roman"/>
          <w:color w:val="000000"/>
          <w:kern w:val="0"/>
          <w:sz w:val="28"/>
          <w:szCs w:val="28"/>
          <w:lang w:val="en-US" w:eastAsia="en-GB"/>
          <w14:ligatures w14:val="none"/>
        </w:rPr>
        <w:t xml:space="preserve">The Norwegian Government Pension Fund Global (NGPFG) is the largest Sovereign wealth Fund (SWF) in the world today with total assets of over $1, 548,145, 071, 000.  This SWF was set up in 1990 with the sole purpose of investing Norway’s petroleum revenue for future generations, providing stability and financial security to the government and citizens of the Norwegian Republic. The Norwegian Government Pension Fund Global is under the management of </w:t>
      </w:r>
      <w:proofErr w:type="spellStart"/>
      <w:r>
        <w:rPr>
          <w:rFonts w:ascii="Times New Roman" w:eastAsia="Times New Roman" w:hAnsi="Times New Roman" w:cs="Times New Roman"/>
          <w:color w:val="000000"/>
          <w:kern w:val="0"/>
          <w:sz w:val="28"/>
          <w:szCs w:val="28"/>
          <w:lang w:val="en-US" w:eastAsia="en-GB"/>
          <w14:ligatures w14:val="none"/>
        </w:rPr>
        <w:t>Norges</w:t>
      </w:r>
      <w:proofErr w:type="spellEnd"/>
      <w:r>
        <w:rPr>
          <w:rFonts w:ascii="Times New Roman" w:eastAsia="Times New Roman" w:hAnsi="Times New Roman" w:cs="Times New Roman"/>
          <w:color w:val="000000"/>
          <w:kern w:val="0"/>
          <w:sz w:val="28"/>
          <w:szCs w:val="28"/>
          <w:lang w:val="en-US" w:eastAsia="en-GB"/>
          <w14:ligatures w14:val="none"/>
        </w:rPr>
        <w:t xml:space="preserve"> Bank Investment Management (NBIM). This SWF is state owned and hence it operates under strict guidelines set by the Norwegian Government.  The Fund’s assets are invested internationally in equities, Fixed Income and real </w:t>
      </w:r>
      <w:r w:rsidRPr="007A40AB">
        <w:rPr>
          <w:rFonts w:ascii="Times New Roman" w:eastAsia="Times New Roman" w:hAnsi="Times New Roman" w:cs="Times New Roman"/>
          <w:color w:val="000000"/>
          <w:kern w:val="0"/>
          <w:sz w:val="28"/>
          <w:szCs w:val="28"/>
          <w:lang w:val="en-US" w:eastAsia="en-GB"/>
          <w14:ligatures w14:val="none"/>
        </w:rPr>
        <w:t xml:space="preserve">estate. </w:t>
      </w:r>
    </w:p>
    <w:p w14:paraId="20619F97" w14:textId="77777777" w:rsidR="008F4F07" w:rsidRPr="00E87B04" w:rsidRDefault="008F4F07" w:rsidP="008F4F07">
      <w:pPr>
        <w:spacing w:before="100" w:beforeAutospacing="1" w:after="100" w:afterAutospacing="1" w:line="360" w:lineRule="auto"/>
        <w:jc w:val="both"/>
        <w:rPr>
          <w:rFonts w:ascii="Times New Roman" w:eastAsia="Times New Roman" w:hAnsi="Times New Roman" w:cs="Times New Roman"/>
          <w:color w:val="000000"/>
          <w:kern w:val="0"/>
          <w:sz w:val="28"/>
          <w:szCs w:val="28"/>
          <w:lang w:val="en-US" w:eastAsia="en-GB"/>
          <w14:ligatures w14:val="none"/>
        </w:rPr>
      </w:pPr>
      <w:r>
        <w:rPr>
          <w:rFonts w:ascii="Times New Roman" w:eastAsia="Times New Roman" w:hAnsi="Times New Roman" w:cs="Times New Roman"/>
          <w:color w:val="000000"/>
          <w:kern w:val="0"/>
          <w:sz w:val="28"/>
          <w:szCs w:val="28"/>
          <w:lang w:val="en-US" w:eastAsia="en-GB"/>
          <w14:ligatures w14:val="none"/>
        </w:rPr>
        <w:t xml:space="preserve">The Norwegian Sovereign Wealth Funds is one of the most studied and most researched about Sovereign wealth funds Sovereign wealth Funds. In fact, in chapter six of the book Beyond the curse: Policies to Harness the power of Natural resources titled the economics of Sovereign Wealth funds: lessons from Norway, the Arthurs do point out to the fact that, Norway is a great example of how great management of natural resource revenue is a major component to promoting and maintain sustainable growth and development. </w:t>
      </w:r>
      <w:proofErr w:type="gramStart"/>
      <w:r>
        <w:rPr>
          <w:rFonts w:ascii="Times New Roman" w:eastAsia="Times New Roman" w:hAnsi="Times New Roman" w:cs="Times New Roman"/>
          <w:color w:val="000000"/>
          <w:kern w:val="0"/>
          <w:sz w:val="28"/>
          <w:szCs w:val="28"/>
          <w:lang w:val="en-US" w:eastAsia="en-GB"/>
          <w14:ligatures w14:val="none"/>
        </w:rPr>
        <w:t>.In</w:t>
      </w:r>
      <w:proofErr w:type="gramEnd"/>
      <w:r>
        <w:rPr>
          <w:rFonts w:ascii="Times New Roman" w:eastAsia="Times New Roman" w:hAnsi="Times New Roman" w:cs="Times New Roman"/>
          <w:color w:val="000000"/>
          <w:kern w:val="0"/>
          <w:sz w:val="28"/>
          <w:szCs w:val="28"/>
          <w:lang w:val="en-US" w:eastAsia="en-GB"/>
          <w14:ligatures w14:val="none"/>
        </w:rPr>
        <w:t xml:space="preserve"> this case, the Government Pension Fund Global management is a clear indicator on why natural resource rich countries should and must set up a sovereign Wealth Fund</w:t>
      </w:r>
      <w:r w:rsidRPr="007A40AB">
        <w:rPr>
          <w:sz w:val="28"/>
          <w:szCs w:val="28"/>
        </w:rPr>
        <w:t xml:space="preserve"> </w:t>
      </w:r>
      <w:sdt>
        <w:sdtPr>
          <w:rPr>
            <w:sz w:val="28"/>
            <w:szCs w:val="28"/>
          </w:rPr>
          <w:id w:val="-1223354902"/>
          <w:citation/>
        </w:sdtPr>
        <w:sdtContent>
          <w:r>
            <w:rPr>
              <w:sz w:val="28"/>
              <w:szCs w:val="28"/>
            </w:rPr>
            <w:fldChar w:fldCharType="begin"/>
          </w:r>
          <w:r>
            <w:rPr>
              <w:sz w:val="28"/>
              <w:szCs w:val="28"/>
              <w:lang w:val="en-US"/>
            </w:rPr>
            <w:instrText xml:space="preserve">CITATION MrA12 \l 1033 </w:instrText>
          </w:r>
          <w:r>
            <w:rPr>
              <w:sz w:val="28"/>
              <w:szCs w:val="28"/>
            </w:rPr>
            <w:fldChar w:fldCharType="separate"/>
          </w:r>
          <w:r w:rsidRPr="003F0738">
            <w:rPr>
              <w:noProof/>
              <w:sz w:val="28"/>
              <w:szCs w:val="28"/>
              <w:lang w:val="en-US"/>
            </w:rPr>
            <w:t>[16]</w:t>
          </w:r>
          <w:r>
            <w:rPr>
              <w:sz w:val="28"/>
              <w:szCs w:val="28"/>
            </w:rPr>
            <w:fldChar w:fldCharType="end"/>
          </w:r>
        </w:sdtContent>
      </w:sdt>
    </w:p>
    <w:p w14:paraId="5C343108" w14:textId="77777777" w:rsidR="008F4F07" w:rsidRDefault="008F4F07" w:rsidP="008F4F07">
      <w:pPr>
        <w:pStyle w:val="NormalWeb"/>
        <w:spacing w:line="360" w:lineRule="auto"/>
        <w:jc w:val="both"/>
        <w:rPr>
          <w:sz w:val="28"/>
          <w:szCs w:val="28"/>
          <w:lang w:val="en-US"/>
        </w:rPr>
      </w:pPr>
      <w:r>
        <w:rPr>
          <w:sz w:val="28"/>
          <w:szCs w:val="28"/>
          <w:lang w:val="en-US"/>
        </w:rPr>
        <w:t xml:space="preserve">The Norwegian Government Pension Fund Global (GPFG) uses for many years has been using the 4 percent bird-in-the-hand investing strategy. This is a rule that was developed by Myron Gordon and john Lintner, and it states that investors prefer guaranteed Dividends payments from stocks instead of possible higher </w:t>
      </w:r>
      <w:r>
        <w:rPr>
          <w:sz w:val="28"/>
          <w:szCs w:val="28"/>
          <w:lang w:val="en-US"/>
        </w:rPr>
        <w:lastRenderedPageBreak/>
        <w:t xml:space="preserve">future capital gains. For the Government Pension Fund Global, it implies that only four percent from oil fund and not more must be extracted at the end of the previous year and used as a basis for how much should be withdrawn from the fund in the case of financing of no oil deficits. </w:t>
      </w:r>
    </w:p>
    <w:p w14:paraId="5949DD31" w14:textId="77777777" w:rsidR="008F4F07" w:rsidRPr="003766F6" w:rsidRDefault="008F4F07" w:rsidP="008F4F07">
      <w:pPr>
        <w:pStyle w:val="NormalWeb"/>
        <w:spacing w:line="360" w:lineRule="auto"/>
        <w:jc w:val="both"/>
        <w:rPr>
          <w:sz w:val="28"/>
          <w:szCs w:val="28"/>
          <w:lang w:val="en-US"/>
        </w:rPr>
      </w:pPr>
      <w:r>
        <w:rPr>
          <w:sz w:val="28"/>
          <w:szCs w:val="28"/>
          <w:lang w:val="en-US"/>
        </w:rPr>
        <w:t xml:space="preserve">Figure 1. shows the lead up to the formation of the Norwegian SWF </w:t>
      </w:r>
    </w:p>
    <w:p w14:paraId="01B7801D" w14:textId="77777777" w:rsidR="008F4F07" w:rsidRDefault="008F4F07" w:rsidP="008F4F07">
      <w:pPr>
        <w:pStyle w:val="NormalWeb"/>
        <w:keepNext/>
        <w:spacing w:line="360" w:lineRule="auto"/>
        <w:jc w:val="both"/>
      </w:pPr>
      <w:r>
        <w:fldChar w:fldCharType="begin"/>
      </w:r>
      <w:r>
        <w:instrText xml:space="preserve"> INCLUDEPICTURE "/Users/user/Library/Group Containers/UBF8T346G9.ms/WebArchiveCopyPasteTempFiles/com.microsoft.Word/9781616351458_f0111-01.jpg" \* MERGEFORMATINET </w:instrText>
      </w:r>
      <w:r>
        <w:fldChar w:fldCharType="separate"/>
      </w:r>
      <w:r>
        <w:rPr>
          <w:noProof/>
        </w:rPr>
        <w:drawing>
          <wp:inline distT="0" distB="0" distL="0" distR="0" wp14:anchorId="11D27125" wp14:editId="514B5CA0">
            <wp:extent cx="5364480" cy="2712720"/>
            <wp:effectExtent l="0" t="0" r="0" b="5080"/>
            <wp:docPr id="1153987968" name="Picture 1" descr="CHAPTER 6 The Economics of Sovereign Wealth Funds: Lessons from Norway in:  Beyond the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TER 6 The Economics of Sovereign Wealth Funds: Lessons from Norway in:  Beyond the Cur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4480" cy="2712720"/>
                    </a:xfrm>
                    <a:prstGeom prst="rect">
                      <a:avLst/>
                    </a:prstGeom>
                    <a:noFill/>
                    <a:ln>
                      <a:noFill/>
                    </a:ln>
                  </pic:spPr>
                </pic:pic>
              </a:graphicData>
            </a:graphic>
          </wp:inline>
        </w:drawing>
      </w:r>
      <w:r>
        <w:fldChar w:fldCharType="end"/>
      </w:r>
    </w:p>
    <w:p w14:paraId="77BA8DCE" w14:textId="77777777" w:rsidR="008F4F07" w:rsidRPr="0038608F" w:rsidRDefault="008F4F07" w:rsidP="008F4F07">
      <w:pPr>
        <w:pStyle w:val="Caption"/>
        <w:jc w:val="both"/>
        <w:rPr>
          <w:rFonts w:ascii="Times New Roman" w:hAnsi="Times New Roman" w:cs="Times New Roman"/>
          <w:sz w:val="28"/>
          <w:szCs w:val="28"/>
          <w:lang w:val="en-US"/>
        </w:rPr>
      </w:pPr>
      <w:r w:rsidRPr="0038608F">
        <w:rPr>
          <w:rFonts w:ascii="Times New Roman" w:hAnsi="Times New Roman" w:cs="Times New Roman"/>
          <w:sz w:val="28"/>
          <w:szCs w:val="28"/>
        </w:rPr>
        <w:t xml:space="preserve">Figure </w:t>
      </w:r>
      <w:r w:rsidRPr="0038608F">
        <w:rPr>
          <w:rFonts w:ascii="Times New Roman" w:hAnsi="Times New Roman" w:cs="Times New Roman"/>
          <w:sz w:val="28"/>
          <w:szCs w:val="28"/>
        </w:rPr>
        <w:fldChar w:fldCharType="begin"/>
      </w:r>
      <w:r w:rsidRPr="0038608F">
        <w:rPr>
          <w:rFonts w:ascii="Times New Roman" w:hAnsi="Times New Roman" w:cs="Times New Roman"/>
          <w:sz w:val="28"/>
          <w:szCs w:val="28"/>
        </w:rPr>
        <w:instrText xml:space="preserve"> SEQ Figure \* ARABIC </w:instrText>
      </w:r>
      <w:r w:rsidRPr="0038608F">
        <w:rPr>
          <w:rFonts w:ascii="Times New Roman" w:hAnsi="Times New Roman" w:cs="Times New Roman"/>
          <w:sz w:val="28"/>
          <w:szCs w:val="28"/>
        </w:rPr>
        <w:fldChar w:fldCharType="separate"/>
      </w:r>
      <w:r>
        <w:rPr>
          <w:rFonts w:ascii="Times New Roman" w:hAnsi="Times New Roman" w:cs="Times New Roman"/>
          <w:noProof/>
          <w:sz w:val="28"/>
          <w:szCs w:val="28"/>
        </w:rPr>
        <w:t>1</w:t>
      </w:r>
      <w:r w:rsidRPr="0038608F">
        <w:rPr>
          <w:rFonts w:ascii="Times New Roman" w:hAnsi="Times New Roman" w:cs="Times New Roman"/>
          <w:sz w:val="28"/>
          <w:szCs w:val="28"/>
        </w:rPr>
        <w:fldChar w:fldCharType="end"/>
      </w:r>
      <w:r w:rsidRPr="0038608F">
        <w:rPr>
          <w:rFonts w:ascii="Times New Roman" w:hAnsi="Times New Roman" w:cs="Times New Roman"/>
          <w:sz w:val="28"/>
          <w:szCs w:val="28"/>
          <w:lang w:val="en-US"/>
        </w:rPr>
        <w:t>. Formation of Norway's SWF</w:t>
      </w:r>
    </w:p>
    <w:p w14:paraId="4ADF1DA9" w14:textId="77777777" w:rsidR="008F4F07" w:rsidRDefault="008F4F07" w:rsidP="008F4F07">
      <w:pPr>
        <w:pStyle w:val="NormalWeb"/>
        <w:spacing w:line="360" w:lineRule="auto"/>
        <w:jc w:val="both"/>
        <w:rPr>
          <w:sz w:val="28"/>
          <w:szCs w:val="28"/>
          <w:lang w:val="en-US"/>
        </w:rPr>
      </w:pPr>
      <w:r>
        <w:rPr>
          <w:sz w:val="28"/>
          <w:szCs w:val="28"/>
          <w:lang w:val="en-US"/>
        </w:rPr>
        <w:t xml:space="preserve">Source: </w:t>
      </w:r>
      <w:hyperlink r:id="rId10" w:anchor="ch06ref06" w:history="1">
        <w:r w:rsidRPr="00346ACD">
          <w:rPr>
            <w:rStyle w:val="Hyperlink"/>
            <w:rFonts w:eastAsiaTheme="majorEastAsia"/>
            <w:sz w:val="28"/>
            <w:szCs w:val="28"/>
            <w:lang w:val="en-US"/>
          </w:rPr>
          <w:t>Qvigstad,2011</w:t>
        </w:r>
      </w:hyperlink>
      <w:r>
        <w:rPr>
          <w:rStyle w:val="FootnoteReference"/>
          <w:color w:val="467886" w:themeColor="hyperlink"/>
          <w:sz w:val="28"/>
          <w:szCs w:val="28"/>
          <w:u w:val="single"/>
          <w:lang w:val="en-US"/>
        </w:rPr>
        <w:footnoteReference w:id="2"/>
      </w:r>
    </w:p>
    <w:p w14:paraId="6C81B6AE" w14:textId="77777777" w:rsidR="008F4F07" w:rsidRPr="0038608F" w:rsidRDefault="008F4F07" w:rsidP="008F4F07">
      <w:pPr>
        <w:pStyle w:val="NormalWeb"/>
        <w:spacing w:line="360" w:lineRule="auto"/>
        <w:jc w:val="both"/>
        <w:rPr>
          <w:sz w:val="28"/>
          <w:szCs w:val="28"/>
          <w:lang w:val="en-US"/>
        </w:rPr>
      </w:pPr>
      <w:r>
        <w:rPr>
          <w:sz w:val="28"/>
          <w:szCs w:val="28"/>
          <w:lang w:val="en-US"/>
        </w:rPr>
        <w:t xml:space="preserve">From figure 1 we can see that just like the Kuwait Investment Authority, the source of the Government Pension Fund Global (GPFG) can be traced back to the discovery of oil.  Hence, the close relationship between natural resource surplus and the formation of Sovereign Wealth funds can be established.  discovery of oil. This led to the growth and stability of the Norwegian Economy. </w:t>
      </w:r>
    </w:p>
    <w:p w14:paraId="474A2CB1" w14:textId="77777777" w:rsidR="008F4F07" w:rsidRDefault="008F4F07" w:rsidP="008F4F07">
      <w:pPr>
        <w:pStyle w:val="pb-3"/>
        <w:spacing w:line="360" w:lineRule="auto"/>
        <w:ind w:firstLine="720"/>
        <w:jc w:val="both"/>
        <w:rPr>
          <w:b/>
          <w:bCs/>
          <w:color w:val="000000"/>
          <w:sz w:val="28"/>
          <w:szCs w:val="28"/>
          <w:lang w:val="en-US"/>
        </w:rPr>
      </w:pPr>
      <w:r>
        <w:rPr>
          <w:b/>
          <w:bCs/>
          <w:color w:val="000000"/>
          <w:sz w:val="28"/>
          <w:szCs w:val="28"/>
          <w:lang w:val="en-US"/>
        </w:rPr>
        <w:t xml:space="preserve">   1.3 Investment</w:t>
      </w:r>
      <w:r w:rsidRPr="00383B6B">
        <w:rPr>
          <w:b/>
          <w:bCs/>
          <w:color w:val="000000"/>
          <w:sz w:val="28"/>
          <w:szCs w:val="28"/>
          <w:lang w:val="en-US"/>
        </w:rPr>
        <w:t xml:space="preserve"> strategy </w:t>
      </w:r>
      <w:r>
        <w:rPr>
          <w:b/>
          <w:bCs/>
          <w:color w:val="000000"/>
          <w:sz w:val="28"/>
          <w:szCs w:val="28"/>
          <w:lang w:val="en-US"/>
        </w:rPr>
        <w:t xml:space="preserve">Lessons from </w:t>
      </w:r>
      <w:r w:rsidRPr="00383B6B">
        <w:rPr>
          <w:b/>
          <w:bCs/>
          <w:color w:val="000000"/>
          <w:sz w:val="28"/>
          <w:szCs w:val="28"/>
          <w:lang w:val="en-US"/>
        </w:rPr>
        <w:t>Norway’s’ S</w:t>
      </w:r>
      <w:r>
        <w:rPr>
          <w:b/>
          <w:bCs/>
          <w:color w:val="000000"/>
          <w:sz w:val="28"/>
          <w:szCs w:val="28"/>
          <w:lang w:val="en-US"/>
        </w:rPr>
        <w:t>overeign Wealth Fund</w:t>
      </w:r>
      <w:r w:rsidRPr="00383B6B">
        <w:rPr>
          <w:b/>
          <w:bCs/>
          <w:color w:val="000000"/>
          <w:sz w:val="28"/>
          <w:szCs w:val="28"/>
          <w:lang w:val="en-US"/>
        </w:rPr>
        <w:t>: Government Pension Fund Global</w:t>
      </w:r>
      <w:r>
        <w:rPr>
          <w:b/>
          <w:bCs/>
          <w:color w:val="000000"/>
          <w:sz w:val="28"/>
          <w:szCs w:val="28"/>
          <w:lang w:val="en-US"/>
        </w:rPr>
        <w:t xml:space="preserve">: </w:t>
      </w:r>
    </w:p>
    <w:p w14:paraId="03A16955"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lastRenderedPageBreak/>
        <w:t xml:space="preserve">The Government Pension fund follows a set of rules and regulations. Its management structure is quite unique in the following ways: </w:t>
      </w:r>
    </w:p>
    <w:p w14:paraId="62528BFD"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First and foremost, Norway’s Finance Minister is responsible for coming up with the strategy of the fund. Then parliament must pass and approve all Legislation related to the fund and its budget. The </w:t>
      </w:r>
      <w:proofErr w:type="spellStart"/>
      <w:r>
        <w:rPr>
          <w:color w:val="000000"/>
          <w:sz w:val="28"/>
          <w:szCs w:val="28"/>
          <w:lang w:val="en-US"/>
        </w:rPr>
        <w:t>Norges</w:t>
      </w:r>
      <w:proofErr w:type="spellEnd"/>
      <w:r>
        <w:rPr>
          <w:color w:val="000000"/>
          <w:sz w:val="28"/>
          <w:szCs w:val="28"/>
          <w:lang w:val="en-US"/>
        </w:rPr>
        <w:t xml:space="preserve"> Bank Investment Management (NBIM) is tasked with the day-to-day management of all assets under the Government Pension Fund Global (GPFG). In the end all GPFG activities should be reported to the Parliament and to avoid fraud, the fund is audited by the Auditor General</w:t>
      </w:r>
      <w:sdt>
        <w:sdtPr>
          <w:rPr>
            <w:color w:val="000000"/>
            <w:sz w:val="28"/>
            <w:szCs w:val="28"/>
            <w:lang w:val="en-US"/>
          </w:rPr>
          <w:id w:val="-2133789426"/>
          <w:citation/>
        </w:sdtPr>
        <w:sdtContent>
          <w:r>
            <w:rPr>
              <w:color w:val="000000"/>
              <w:sz w:val="28"/>
              <w:szCs w:val="28"/>
              <w:lang w:val="en-US"/>
            </w:rPr>
            <w:fldChar w:fldCharType="begin"/>
          </w:r>
          <w:r>
            <w:rPr>
              <w:color w:val="000000"/>
              <w:sz w:val="28"/>
              <w:szCs w:val="28"/>
              <w:lang w:val="en-US"/>
            </w:rPr>
            <w:instrText xml:space="preserve"> CITATION TAZ20 \l 1033 </w:instrText>
          </w:r>
          <w:r>
            <w:rPr>
              <w:color w:val="000000"/>
              <w:sz w:val="28"/>
              <w:szCs w:val="28"/>
              <w:lang w:val="en-US"/>
            </w:rPr>
            <w:fldChar w:fldCharType="separate"/>
          </w:r>
          <w:r>
            <w:rPr>
              <w:noProof/>
              <w:color w:val="000000"/>
              <w:sz w:val="28"/>
              <w:szCs w:val="28"/>
              <w:lang w:val="en-US"/>
            </w:rPr>
            <w:t xml:space="preserve"> </w:t>
          </w:r>
          <w:r w:rsidRPr="003F0738">
            <w:rPr>
              <w:noProof/>
              <w:color w:val="000000"/>
              <w:sz w:val="28"/>
              <w:szCs w:val="28"/>
              <w:lang w:val="en-US"/>
            </w:rPr>
            <w:t>[18]</w:t>
          </w:r>
          <w:r>
            <w:rPr>
              <w:color w:val="000000"/>
              <w:sz w:val="28"/>
              <w:szCs w:val="28"/>
              <w:lang w:val="en-US"/>
            </w:rPr>
            <w:fldChar w:fldCharType="end"/>
          </w:r>
        </w:sdtContent>
      </w:sdt>
    </w:p>
    <w:p w14:paraId="13D145E6"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The Norwegian Government Pension Fund Global is said to be governed under three main objectives: (I) Limited Volatility (II) Transparency (III) Transparency and making sure the Dutch disease is prevented. </w:t>
      </w:r>
    </w:p>
    <w:p w14:paraId="5E734BFD"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The Government Pension fund global asset allocation </w:t>
      </w:r>
      <w:proofErr w:type="gramStart"/>
      <w:r>
        <w:rPr>
          <w:color w:val="000000"/>
          <w:sz w:val="28"/>
          <w:szCs w:val="28"/>
          <w:lang w:val="en-US"/>
        </w:rPr>
        <w:t>consist</w:t>
      </w:r>
      <w:proofErr w:type="gramEnd"/>
      <w:r>
        <w:rPr>
          <w:color w:val="000000"/>
          <w:sz w:val="28"/>
          <w:szCs w:val="28"/>
          <w:lang w:val="en-US"/>
        </w:rPr>
        <w:t xml:space="preserve"> of:</w:t>
      </w:r>
    </w:p>
    <w:p w14:paraId="08371509" w14:textId="77777777" w:rsidR="008F4F07" w:rsidRDefault="008F4F07" w:rsidP="008F4F07">
      <w:pPr>
        <w:pStyle w:val="pb-3"/>
        <w:numPr>
          <w:ilvl w:val="0"/>
          <w:numId w:val="2"/>
        </w:numPr>
        <w:spacing w:line="360" w:lineRule="auto"/>
        <w:jc w:val="both"/>
        <w:rPr>
          <w:color w:val="000000"/>
          <w:sz w:val="28"/>
          <w:szCs w:val="28"/>
          <w:lang w:val="en-US"/>
        </w:rPr>
      </w:pPr>
      <w:r>
        <w:rPr>
          <w:color w:val="000000"/>
          <w:sz w:val="28"/>
          <w:szCs w:val="28"/>
          <w:lang w:val="en-US"/>
        </w:rPr>
        <w:t xml:space="preserve">780.9% Equity across various companies in various countries. </w:t>
      </w:r>
    </w:p>
    <w:p w14:paraId="442EB1DE" w14:textId="77777777" w:rsidR="008F4F07" w:rsidRPr="000F3835" w:rsidRDefault="008F4F07" w:rsidP="008F4F07">
      <w:pPr>
        <w:pStyle w:val="pb-3"/>
        <w:numPr>
          <w:ilvl w:val="0"/>
          <w:numId w:val="2"/>
        </w:numPr>
        <w:spacing w:line="360" w:lineRule="auto"/>
        <w:jc w:val="both"/>
        <w:rPr>
          <w:color w:val="000000"/>
          <w:sz w:val="28"/>
          <w:szCs w:val="28"/>
          <w:lang w:val="en-US"/>
        </w:rPr>
      </w:pPr>
      <w:r>
        <w:rPr>
          <w:color w:val="000000"/>
          <w:sz w:val="28"/>
          <w:szCs w:val="28"/>
          <w:lang w:val="en-US"/>
        </w:rPr>
        <w:t xml:space="preserve">27.1 % in Fixed Income Bonds across various companies in various countries. </w:t>
      </w:r>
    </w:p>
    <w:p w14:paraId="4E6A62F2" w14:textId="77777777" w:rsidR="008F4F07" w:rsidRPr="000F3835" w:rsidRDefault="008F4F07" w:rsidP="008F4F07">
      <w:pPr>
        <w:pStyle w:val="pb-3"/>
        <w:numPr>
          <w:ilvl w:val="0"/>
          <w:numId w:val="2"/>
        </w:numPr>
        <w:spacing w:line="360" w:lineRule="auto"/>
        <w:jc w:val="both"/>
        <w:rPr>
          <w:color w:val="000000"/>
          <w:sz w:val="28"/>
          <w:szCs w:val="28"/>
          <w:lang w:val="en-US"/>
        </w:rPr>
      </w:pPr>
      <w:r>
        <w:rPr>
          <w:color w:val="000000"/>
          <w:sz w:val="28"/>
          <w:szCs w:val="28"/>
          <w:lang w:val="en-US"/>
        </w:rPr>
        <w:t xml:space="preserve">1.9% in Real Estate across various companies in various countries. </w:t>
      </w:r>
    </w:p>
    <w:p w14:paraId="6262BAD3" w14:textId="77777777" w:rsidR="008F4F07" w:rsidRDefault="008F4F07" w:rsidP="008F4F07">
      <w:pPr>
        <w:pStyle w:val="pb-3"/>
        <w:numPr>
          <w:ilvl w:val="0"/>
          <w:numId w:val="2"/>
        </w:numPr>
        <w:spacing w:line="360" w:lineRule="auto"/>
        <w:jc w:val="both"/>
        <w:rPr>
          <w:color w:val="000000"/>
          <w:sz w:val="28"/>
          <w:szCs w:val="28"/>
          <w:lang w:val="en-US"/>
        </w:rPr>
      </w:pPr>
      <w:r>
        <w:rPr>
          <w:color w:val="000000"/>
          <w:sz w:val="28"/>
          <w:szCs w:val="28"/>
          <w:lang w:val="en-US"/>
        </w:rPr>
        <w:t xml:space="preserve"> 0.9% in Renewable Energy Infrastructure across various companies in various countries. </w:t>
      </w:r>
    </w:p>
    <w:p w14:paraId="00A6137D" w14:textId="77777777" w:rsidR="008F4F07" w:rsidRDefault="008F4F07" w:rsidP="008F4F07">
      <w:pPr>
        <w:pStyle w:val="pb-3"/>
        <w:spacing w:line="360" w:lineRule="auto"/>
        <w:ind w:left="360"/>
        <w:jc w:val="both"/>
        <w:rPr>
          <w:color w:val="000000"/>
          <w:sz w:val="28"/>
          <w:szCs w:val="28"/>
          <w:lang w:val="en-US"/>
        </w:rPr>
      </w:pPr>
      <w:r>
        <w:rPr>
          <w:color w:val="000000"/>
          <w:sz w:val="28"/>
          <w:szCs w:val="28"/>
          <w:lang w:val="en-US"/>
        </w:rPr>
        <w:t xml:space="preserve">In as much as there are some investments in the local market, the Government Pension Fund Global focuses much on the offshore markets / international markets. with Investment in Equities in over 8,800 companies across 65 countries, 1,389 Fixed Income bond investment in over 46 countries, 897 Real estate properties across 14 countries and 4 investments in Renewable Energy across 3 countries. </w:t>
      </w:r>
    </w:p>
    <w:p w14:paraId="7E4645EC" w14:textId="77777777" w:rsidR="008F4F07" w:rsidRPr="0038608F" w:rsidRDefault="008F4F07" w:rsidP="008F4F07">
      <w:pPr>
        <w:pStyle w:val="pb-3"/>
        <w:spacing w:line="360" w:lineRule="auto"/>
        <w:ind w:left="360"/>
        <w:jc w:val="both"/>
        <w:rPr>
          <w:color w:val="000000"/>
          <w:sz w:val="28"/>
          <w:szCs w:val="28"/>
          <w:lang w:val="en-US"/>
        </w:rPr>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rPr>
          <w:lang w:val="en-US"/>
        </w:rPr>
        <w:t xml:space="preserve">. </w:t>
      </w:r>
      <w:r>
        <w:rPr>
          <w:color w:val="000000"/>
          <w:sz w:val="28"/>
          <w:szCs w:val="28"/>
          <w:lang w:val="en-US"/>
        </w:rPr>
        <w:t xml:space="preserve">Government Pension Fund Global portfolio </w:t>
      </w:r>
    </w:p>
    <w:tbl>
      <w:tblPr>
        <w:tblStyle w:val="TableGrid"/>
        <w:tblW w:w="0" w:type="auto"/>
        <w:tblLook w:val="04A0" w:firstRow="1" w:lastRow="0" w:firstColumn="1" w:lastColumn="0" w:noHBand="0" w:noVBand="1"/>
      </w:tblPr>
      <w:tblGrid>
        <w:gridCol w:w="1746"/>
        <w:gridCol w:w="2887"/>
        <w:gridCol w:w="1370"/>
        <w:gridCol w:w="1392"/>
        <w:gridCol w:w="1621"/>
      </w:tblGrid>
      <w:tr w:rsidR="008F4F07" w14:paraId="448A4094" w14:textId="77777777" w:rsidTr="00370AD9">
        <w:tc>
          <w:tcPr>
            <w:tcW w:w="1758" w:type="dxa"/>
          </w:tcPr>
          <w:p w14:paraId="68F572AF" w14:textId="77777777" w:rsidR="008F4F07" w:rsidRDefault="008F4F07" w:rsidP="00370AD9">
            <w:pPr>
              <w:pStyle w:val="pb-3"/>
              <w:spacing w:line="360" w:lineRule="auto"/>
              <w:jc w:val="both"/>
              <w:rPr>
                <w:color w:val="000000"/>
                <w:sz w:val="28"/>
                <w:szCs w:val="28"/>
              </w:rPr>
            </w:pPr>
            <w:r>
              <w:rPr>
                <w:color w:val="000000"/>
                <w:sz w:val="28"/>
                <w:szCs w:val="28"/>
                <w:lang w:val="en-US"/>
              </w:rPr>
              <w:t xml:space="preserve">Total asset value </w:t>
            </w:r>
          </w:p>
        </w:tc>
        <w:tc>
          <w:tcPr>
            <w:tcW w:w="2887" w:type="dxa"/>
          </w:tcPr>
          <w:p w14:paraId="2B3D8402" w14:textId="77777777" w:rsidR="008F4F07" w:rsidRDefault="008F4F07" w:rsidP="00370AD9">
            <w:pPr>
              <w:pStyle w:val="pb-3"/>
              <w:spacing w:line="360" w:lineRule="auto"/>
              <w:jc w:val="both"/>
              <w:rPr>
                <w:color w:val="000000"/>
                <w:sz w:val="28"/>
                <w:szCs w:val="28"/>
              </w:rPr>
            </w:pPr>
            <w:r w:rsidRPr="0084763C">
              <w:rPr>
                <w:rStyle w:val="n"/>
                <w:b/>
                <w:bCs/>
                <w:color w:val="000000"/>
                <w:sz w:val="28"/>
                <w:szCs w:val="28"/>
                <w:bdr w:val="single" w:sz="2" w:space="0" w:color="auto" w:frame="1"/>
              </w:rPr>
              <w:t>1</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552</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310</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277</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099</w:t>
            </w:r>
            <w:r w:rsidRPr="0084763C">
              <w:rPr>
                <w:rStyle w:val="block"/>
                <w:b/>
                <w:bCs/>
                <w:color w:val="000000"/>
                <w:sz w:val="28"/>
                <w:szCs w:val="28"/>
                <w:bdr w:val="single" w:sz="2" w:space="0" w:color="auto" w:frame="1"/>
              </w:rPr>
              <w:t>USD</w:t>
            </w:r>
          </w:p>
        </w:tc>
        <w:tc>
          <w:tcPr>
            <w:tcW w:w="1460" w:type="dxa"/>
          </w:tcPr>
          <w:p w14:paraId="71FE11CC" w14:textId="77777777" w:rsidR="008F4F07" w:rsidRDefault="008F4F07" w:rsidP="00370AD9">
            <w:pPr>
              <w:pStyle w:val="pb-3"/>
              <w:spacing w:line="360" w:lineRule="auto"/>
              <w:jc w:val="both"/>
              <w:rPr>
                <w:color w:val="000000"/>
                <w:sz w:val="28"/>
                <w:szCs w:val="28"/>
              </w:rPr>
            </w:pPr>
          </w:p>
        </w:tc>
        <w:tc>
          <w:tcPr>
            <w:tcW w:w="1478" w:type="dxa"/>
          </w:tcPr>
          <w:p w14:paraId="3AFDAD7B" w14:textId="77777777" w:rsidR="008F4F07" w:rsidRDefault="008F4F07" w:rsidP="00370AD9">
            <w:pPr>
              <w:pStyle w:val="pb-3"/>
              <w:spacing w:line="360" w:lineRule="auto"/>
              <w:jc w:val="both"/>
              <w:rPr>
                <w:color w:val="000000"/>
                <w:sz w:val="28"/>
                <w:szCs w:val="28"/>
              </w:rPr>
            </w:pPr>
          </w:p>
        </w:tc>
        <w:tc>
          <w:tcPr>
            <w:tcW w:w="1659" w:type="dxa"/>
          </w:tcPr>
          <w:p w14:paraId="30F51097" w14:textId="77777777" w:rsidR="008F4F07" w:rsidRDefault="008F4F07" w:rsidP="00370AD9">
            <w:pPr>
              <w:pStyle w:val="pb-3"/>
              <w:spacing w:line="360" w:lineRule="auto"/>
              <w:jc w:val="both"/>
              <w:rPr>
                <w:color w:val="000000"/>
                <w:sz w:val="28"/>
                <w:szCs w:val="28"/>
              </w:rPr>
            </w:pPr>
          </w:p>
        </w:tc>
      </w:tr>
      <w:tr w:rsidR="008F4F07" w14:paraId="788D9EC6" w14:textId="77777777" w:rsidTr="00370AD9">
        <w:tc>
          <w:tcPr>
            <w:tcW w:w="1758" w:type="dxa"/>
          </w:tcPr>
          <w:p w14:paraId="06DC51CC" w14:textId="77777777" w:rsidR="008F4F07" w:rsidRDefault="008F4F07" w:rsidP="00370AD9">
            <w:pPr>
              <w:pStyle w:val="pb-3"/>
              <w:spacing w:line="360" w:lineRule="auto"/>
              <w:jc w:val="both"/>
              <w:rPr>
                <w:color w:val="000000"/>
                <w:sz w:val="28"/>
                <w:szCs w:val="28"/>
              </w:rPr>
            </w:pPr>
            <w:r>
              <w:rPr>
                <w:color w:val="000000"/>
                <w:sz w:val="28"/>
                <w:szCs w:val="28"/>
                <w:lang w:val="en-US"/>
              </w:rPr>
              <w:t xml:space="preserve">Equities </w:t>
            </w:r>
          </w:p>
        </w:tc>
        <w:tc>
          <w:tcPr>
            <w:tcW w:w="2887" w:type="dxa"/>
          </w:tcPr>
          <w:p w14:paraId="4D3AC564" w14:textId="77777777" w:rsidR="008F4F07" w:rsidRDefault="008F4F07" w:rsidP="00370AD9">
            <w:pPr>
              <w:pStyle w:val="pb-3"/>
              <w:spacing w:line="360" w:lineRule="auto"/>
              <w:jc w:val="both"/>
              <w:rPr>
                <w:color w:val="000000"/>
                <w:sz w:val="28"/>
                <w:szCs w:val="28"/>
              </w:rPr>
            </w:pPr>
            <w:r w:rsidRPr="0084763C">
              <w:rPr>
                <w:rStyle w:val="n"/>
                <w:b/>
                <w:bCs/>
                <w:color w:val="000000"/>
                <w:sz w:val="28"/>
                <w:szCs w:val="28"/>
                <w:bdr w:val="single" w:sz="2" w:space="0" w:color="auto" w:frame="1"/>
              </w:rPr>
              <w:t>1</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100</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294</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710</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317</w:t>
            </w:r>
            <w:r w:rsidRPr="0084763C">
              <w:rPr>
                <w:rStyle w:val="block"/>
                <w:b/>
                <w:bCs/>
                <w:color w:val="000000"/>
                <w:sz w:val="28"/>
                <w:szCs w:val="28"/>
                <w:bdr w:val="single" w:sz="2" w:space="0" w:color="auto" w:frame="1"/>
              </w:rPr>
              <w:t>USD</w:t>
            </w:r>
          </w:p>
        </w:tc>
        <w:tc>
          <w:tcPr>
            <w:tcW w:w="1460" w:type="dxa"/>
          </w:tcPr>
          <w:p w14:paraId="62B375B4" w14:textId="77777777" w:rsidR="008F4F07" w:rsidRDefault="008F4F07" w:rsidP="00370AD9">
            <w:pPr>
              <w:pStyle w:val="pb-3"/>
              <w:spacing w:line="360" w:lineRule="auto"/>
              <w:jc w:val="both"/>
              <w:rPr>
                <w:color w:val="000000"/>
                <w:sz w:val="28"/>
                <w:szCs w:val="28"/>
              </w:rPr>
            </w:pPr>
            <w:r>
              <w:rPr>
                <w:color w:val="000000"/>
                <w:sz w:val="28"/>
                <w:szCs w:val="28"/>
                <w:lang w:val="en-US"/>
              </w:rPr>
              <w:t>70.9 % of Portfolio</w:t>
            </w:r>
          </w:p>
        </w:tc>
        <w:tc>
          <w:tcPr>
            <w:tcW w:w="1478" w:type="dxa"/>
          </w:tcPr>
          <w:p w14:paraId="19B75535" w14:textId="77777777" w:rsidR="008F4F07" w:rsidRPr="001B30E4" w:rsidRDefault="008F4F07" w:rsidP="00370AD9">
            <w:pPr>
              <w:pStyle w:val="pb-3"/>
              <w:spacing w:line="360" w:lineRule="auto"/>
              <w:jc w:val="both"/>
              <w:rPr>
                <w:color w:val="000000"/>
                <w:sz w:val="28"/>
                <w:szCs w:val="28"/>
                <w:lang w:val="en-US"/>
              </w:rPr>
            </w:pPr>
            <w:r>
              <w:rPr>
                <w:color w:val="000000"/>
                <w:sz w:val="28"/>
                <w:szCs w:val="28"/>
                <w:lang w:val="en-US"/>
              </w:rPr>
              <w:t xml:space="preserve">65 countries </w:t>
            </w:r>
          </w:p>
        </w:tc>
        <w:tc>
          <w:tcPr>
            <w:tcW w:w="1659" w:type="dxa"/>
          </w:tcPr>
          <w:p w14:paraId="294C8B6D" w14:textId="77777777" w:rsidR="008F4F07" w:rsidRPr="001B30E4" w:rsidRDefault="008F4F07" w:rsidP="00370AD9">
            <w:pPr>
              <w:pStyle w:val="pb-3"/>
              <w:spacing w:line="360" w:lineRule="auto"/>
              <w:jc w:val="both"/>
              <w:rPr>
                <w:color w:val="000000"/>
                <w:sz w:val="28"/>
                <w:szCs w:val="28"/>
                <w:lang w:val="en-US"/>
              </w:rPr>
            </w:pPr>
            <w:r>
              <w:rPr>
                <w:color w:val="000000"/>
                <w:sz w:val="28"/>
                <w:szCs w:val="28"/>
                <w:lang w:val="en-US"/>
              </w:rPr>
              <w:t xml:space="preserve">8,859 companies </w:t>
            </w:r>
          </w:p>
        </w:tc>
      </w:tr>
      <w:tr w:rsidR="008F4F07" w14:paraId="7D905878" w14:textId="77777777" w:rsidTr="00370AD9">
        <w:tc>
          <w:tcPr>
            <w:tcW w:w="1758" w:type="dxa"/>
          </w:tcPr>
          <w:p w14:paraId="6C110B63" w14:textId="77777777" w:rsidR="008F4F07" w:rsidRDefault="008F4F07" w:rsidP="00370AD9">
            <w:pPr>
              <w:pStyle w:val="pb-3"/>
              <w:spacing w:line="360" w:lineRule="auto"/>
              <w:jc w:val="both"/>
              <w:rPr>
                <w:color w:val="000000"/>
                <w:sz w:val="28"/>
                <w:szCs w:val="28"/>
              </w:rPr>
            </w:pPr>
            <w:r>
              <w:rPr>
                <w:color w:val="000000"/>
                <w:sz w:val="28"/>
                <w:szCs w:val="28"/>
                <w:lang w:val="en-US"/>
              </w:rPr>
              <w:t xml:space="preserve">Fixed Income Bonds </w:t>
            </w:r>
          </w:p>
        </w:tc>
        <w:tc>
          <w:tcPr>
            <w:tcW w:w="2887" w:type="dxa"/>
          </w:tcPr>
          <w:p w14:paraId="64EEBFBC" w14:textId="77777777" w:rsidR="008F4F07" w:rsidRDefault="008F4F07" w:rsidP="00370AD9">
            <w:pPr>
              <w:pStyle w:val="pb-3"/>
              <w:spacing w:line="360" w:lineRule="auto"/>
              <w:jc w:val="both"/>
              <w:rPr>
                <w:color w:val="000000"/>
                <w:sz w:val="28"/>
                <w:szCs w:val="28"/>
              </w:rPr>
            </w:pPr>
            <w:r w:rsidRPr="0084763C">
              <w:rPr>
                <w:rStyle w:val="n"/>
                <w:b/>
                <w:bCs/>
                <w:color w:val="000000"/>
                <w:sz w:val="28"/>
                <w:szCs w:val="28"/>
                <w:bdr w:val="single" w:sz="2" w:space="0" w:color="auto" w:frame="1"/>
              </w:rPr>
              <w:t>420</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625</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452</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372</w:t>
            </w:r>
            <w:r w:rsidRPr="0084763C">
              <w:rPr>
                <w:rStyle w:val="block"/>
                <w:b/>
                <w:bCs/>
                <w:color w:val="000000"/>
                <w:sz w:val="28"/>
                <w:szCs w:val="28"/>
                <w:bdr w:val="single" w:sz="2" w:space="0" w:color="auto" w:frame="1"/>
              </w:rPr>
              <w:t>USD</w:t>
            </w:r>
          </w:p>
        </w:tc>
        <w:tc>
          <w:tcPr>
            <w:tcW w:w="1460" w:type="dxa"/>
          </w:tcPr>
          <w:p w14:paraId="363E895B" w14:textId="77777777" w:rsidR="008F4F07" w:rsidRDefault="008F4F07" w:rsidP="00370AD9">
            <w:pPr>
              <w:pStyle w:val="pb-3"/>
              <w:spacing w:line="360" w:lineRule="auto"/>
              <w:jc w:val="both"/>
              <w:rPr>
                <w:color w:val="000000"/>
                <w:sz w:val="28"/>
                <w:szCs w:val="28"/>
              </w:rPr>
            </w:pPr>
            <w:r>
              <w:rPr>
                <w:color w:val="000000"/>
                <w:sz w:val="28"/>
                <w:szCs w:val="28"/>
                <w:lang w:val="en-US"/>
              </w:rPr>
              <w:t>27.1 % of portfolio</w:t>
            </w:r>
          </w:p>
        </w:tc>
        <w:tc>
          <w:tcPr>
            <w:tcW w:w="1478" w:type="dxa"/>
          </w:tcPr>
          <w:p w14:paraId="18283DC8" w14:textId="77777777" w:rsidR="008F4F07" w:rsidRPr="001B30E4" w:rsidRDefault="008F4F07" w:rsidP="00370AD9">
            <w:pPr>
              <w:pStyle w:val="pb-3"/>
              <w:spacing w:line="360" w:lineRule="auto"/>
              <w:jc w:val="both"/>
              <w:rPr>
                <w:color w:val="000000"/>
                <w:sz w:val="28"/>
                <w:szCs w:val="28"/>
                <w:lang w:val="en-US"/>
              </w:rPr>
            </w:pPr>
            <w:r>
              <w:rPr>
                <w:color w:val="000000"/>
                <w:sz w:val="28"/>
                <w:szCs w:val="28"/>
                <w:lang w:val="en-US"/>
              </w:rPr>
              <w:t xml:space="preserve">46 countries </w:t>
            </w:r>
          </w:p>
        </w:tc>
        <w:tc>
          <w:tcPr>
            <w:tcW w:w="1659" w:type="dxa"/>
          </w:tcPr>
          <w:p w14:paraId="5AD6CD57" w14:textId="77777777" w:rsidR="008F4F07" w:rsidRPr="001B30E4" w:rsidRDefault="008F4F07" w:rsidP="00370AD9">
            <w:pPr>
              <w:pStyle w:val="pb-3"/>
              <w:spacing w:line="360" w:lineRule="auto"/>
              <w:jc w:val="both"/>
              <w:rPr>
                <w:color w:val="000000"/>
                <w:sz w:val="28"/>
                <w:szCs w:val="28"/>
                <w:lang w:val="en-US"/>
              </w:rPr>
            </w:pPr>
            <w:r>
              <w:rPr>
                <w:color w:val="000000"/>
                <w:sz w:val="28"/>
                <w:szCs w:val="28"/>
                <w:lang w:val="en-US"/>
              </w:rPr>
              <w:t xml:space="preserve">1,389 Bonds </w:t>
            </w:r>
          </w:p>
        </w:tc>
      </w:tr>
      <w:tr w:rsidR="008F4F07" w14:paraId="249A9E6F" w14:textId="77777777" w:rsidTr="00370AD9">
        <w:tc>
          <w:tcPr>
            <w:tcW w:w="1758" w:type="dxa"/>
          </w:tcPr>
          <w:p w14:paraId="259EF9F1" w14:textId="77777777" w:rsidR="008F4F07" w:rsidRDefault="008F4F07" w:rsidP="00370AD9">
            <w:pPr>
              <w:pStyle w:val="pb-3"/>
              <w:spacing w:line="360" w:lineRule="auto"/>
              <w:jc w:val="both"/>
              <w:rPr>
                <w:color w:val="000000"/>
                <w:sz w:val="28"/>
                <w:szCs w:val="28"/>
              </w:rPr>
            </w:pPr>
            <w:r>
              <w:rPr>
                <w:color w:val="000000"/>
                <w:sz w:val="28"/>
                <w:szCs w:val="28"/>
                <w:lang w:val="en-US"/>
              </w:rPr>
              <w:t xml:space="preserve">Real Estate </w:t>
            </w:r>
          </w:p>
        </w:tc>
        <w:tc>
          <w:tcPr>
            <w:tcW w:w="2887" w:type="dxa"/>
          </w:tcPr>
          <w:p w14:paraId="5EE76040" w14:textId="77777777" w:rsidR="008F4F07" w:rsidRDefault="008F4F07" w:rsidP="00370AD9">
            <w:pPr>
              <w:pStyle w:val="pb-3"/>
              <w:spacing w:line="360" w:lineRule="auto"/>
              <w:jc w:val="both"/>
              <w:rPr>
                <w:color w:val="000000"/>
                <w:sz w:val="28"/>
                <w:szCs w:val="28"/>
              </w:rPr>
            </w:pPr>
            <w:r w:rsidRPr="0084763C">
              <w:rPr>
                <w:rStyle w:val="n"/>
                <w:b/>
                <w:bCs/>
                <w:color w:val="000000"/>
                <w:sz w:val="28"/>
                <w:szCs w:val="28"/>
                <w:bdr w:val="single" w:sz="2" w:space="0" w:color="auto" w:frame="1"/>
              </w:rPr>
              <w:t>29</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651</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171</w:t>
            </w:r>
            <w:r w:rsidRPr="0084763C">
              <w:rPr>
                <w:rStyle w:val="ns"/>
                <w:rFonts w:eastAsiaTheme="majorEastAsia"/>
                <w:b/>
                <w:bCs/>
                <w:color w:val="000000"/>
                <w:sz w:val="28"/>
                <w:szCs w:val="28"/>
                <w:bdr w:val="single" w:sz="2" w:space="0" w:color="auto" w:frame="1"/>
              </w:rPr>
              <w:t>,</w:t>
            </w:r>
            <w:r w:rsidRPr="0084763C">
              <w:rPr>
                <w:rStyle w:val="n"/>
                <w:b/>
                <w:bCs/>
                <w:color w:val="000000"/>
                <w:sz w:val="28"/>
                <w:szCs w:val="28"/>
                <w:bdr w:val="single" w:sz="2" w:space="0" w:color="auto" w:frame="1"/>
              </w:rPr>
              <w:t>281</w:t>
            </w:r>
            <w:r w:rsidRPr="0084763C">
              <w:rPr>
                <w:rStyle w:val="block"/>
                <w:b/>
                <w:bCs/>
                <w:color w:val="000000"/>
                <w:sz w:val="28"/>
                <w:szCs w:val="28"/>
                <w:bdr w:val="single" w:sz="2" w:space="0" w:color="auto" w:frame="1"/>
              </w:rPr>
              <w:t>USD</w:t>
            </w:r>
          </w:p>
        </w:tc>
        <w:tc>
          <w:tcPr>
            <w:tcW w:w="1460" w:type="dxa"/>
          </w:tcPr>
          <w:p w14:paraId="6D645EF3" w14:textId="77777777" w:rsidR="008F4F07" w:rsidRDefault="008F4F07" w:rsidP="00370AD9">
            <w:pPr>
              <w:pStyle w:val="pb-3"/>
              <w:spacing w:line="360" w:lineRule="auto"/>
              <w:jc w:val="both"/>
              <w:rPr>
                <w:color w:val="000000"/>
                <w:sz w:val="28"/>
                <w:szCs w:val="28"/>
              </w:rPr>
            </w:pPr>
            <w:r>
              <w:rPr>
                <w:color w:val="000000"/>
                <w:sz w:val="28"/>
                <w:szCs w:val="28"/>
                <w:lang w:val="en-US"/>
              </w:rPr>
              <w:t xml:space="preserve">1.9 % of portfolio </w:t>
            </w:r>
          </w:p>
        </w:tc>
        <w:tc>
          <w:tcPr>
            <w:tcW w:w="1478" w:type="dxa"/>
          </w:tcPr>
          <w:p w14:paraId="3E9B791A" w14:textId="77777777" w:rsidR="008F4F07" w:rsidRPr="001B30E4" w:rsidRDefault="008F4F07" w:rsidP="00370AD9">
            <w:pPr>
              <w:pStyle w:val="pb-3"/>
              <w:spacing w:line="360" w:lineRule="auto"/>
              <w:jc w:val="both"/>
              <w:rPr>
                <w:color w:val="000000"/>
                <w:sz w:val="28"/>
                <w:szCs w:val="28"/>
                <w:lang w:val="en-US"/>
              </w:rPr>
            </w:pPr>
            <w:r>
              <w:rPr>
                <w:color w:val="000000"/>
                <w:sz w:val="28"/>
                <w:szCs w:val="28"/>
                <w:lang w:val="en-US"/>
              </w:rPr>
              <w:t>14 countries</w:t>
            </w:r>
          </w:p>
        </w:tc>
        <w:tc>
          <w:tcPr>
            <w:tcW w:w="1659" w:type="dxa"/>
          </w:tcPr>
          <w:p w14:paraId="6D81B8C7" w14:textId="77777777" w:rsidR="008F4F07" w:rsidRPr="004D394F" w:rsidRDefault="008F4F07" w:rsidP="00370AD9">
            <w:pPr>
              <w:pStyle w:val="pb-3"/>
              <w:spacing w:line="360" w:lineRule="auto"/>
              <w:jc w:val="both"/>
              <w:rPr>
                <w:color w:val="000000"/>
                <w:sz w:val="28"/>
                <w:szCs w:val="28"/>
                <w:lang w:val="en-US"/>
              </w:rPr>
            </w:pPr>
            <w:r>
              <w:rPr>
                <w:color w:val="000000"/>
                <w:sz w:val="28"/>
                <w:szCs w:val="28"/>
                <w:lang w:val="en-US"/>
              </w:rPr>
              <w:t>897 properties</w:t>
            </w:r>
          </w:p>
        </w:tc>
      </w:tr>
      <w:tr w:rsidR="008F4F07" w14:paraId="5A2F8B98" w14:textId="77777777" w:rsidTr="00370AD9">
        <w:tc>
          <w:tcPr>
            <w:tcW w:w="1758" w:type="dxa"/>
          </w:tcPr>
          <w:p w14:paraId="5ABCD0C7" w14:textId="77777777" w:rsidR="008F4F07" w:rsidRDefault="008F4F07" w:rsidP="00370AD9">
            <w:pPr>
              <w:pStyle w:val="pb-3"/>
              <w:spacing w:line="360" w:lineRule="auto"/>
              <w:jc w:val="both"/>
              <w:rPr>
                <w:color w:val="000000"/>
                <w:sz w:val="28"/>
                <w:szCs w:val="28"/>
              </w:rPr>
            </w:pPr>
            <w:r>
              <w:rPr>
                <w:color w:val="000000"/>
                <w:sz w:val="28"/>
                <w:szCs w:val="28"/>
                <w:lang w:val="en-US"/>
              </w:rPr>
              <w:t xml:space="preserve">Renewable energy infrastructure </w:t>
            </w:r>
          </w:p>
        </w:tc>
        <w:tc>
          <w:tcPr>
            <w:tcW w:w="2887" w:type="dxa"/>
          </w:tcPr>
          <w:p w14:paraId="18A254F0" w14:textId="77777777" w:rsidR="008F4F07" w:rsidRDefault="008F4F07" w:rsidP="00370AD9">
            <w:pPr>
              <w:pStyle w:val="pb-3"/>
              <w:spacing w:line="360" w:lineRule="auto"/>
              <w:jc w:val="both"/>
              <w:rPr>
                <w:color w:val="000000"/>
                <w:sz w:val="28"/>
                <w:szCs w:val="28"/>
              </w:rPr>
            </w:pPr>
            <w:r w:rsidRPr="001B30E4">
              <w:rPr>
                <w:rStyle w:val="n"/>
                <w:b/>
                <w:bCs/>
                <w:color w:val="000000"/>
                <w:sz w:val="28"/>
                <w:szCs w:val="28"/>
                <w:bdr w:val="single" w:sz="2" w:space="0" w:color="auto" w:frame="1"/>
              </w:rPr>
              <w:t>1</w:t>
            </w:r>
            <w:r w:rsidRPr="001B30E4">
              <w:rPr>
                <w:rStyle w:val="ns"/>
                <w:rFonts w:eastAsiaTheme="majorEastAsia"/>
                <w:b/>
                <w:bCs/>
                <w:color w:val="000000"/>
                <w:sz w:val="28"/>
                <w:szCs w:val="28"/>
                <w:bdr w:val="single" w:sz="2" w:space="0" w:color="auto" w:frame="1"/>
              </w:rPr>
              <w:t>,</w:t>
            </w:r>
            <w:r w:rsidRPr="001B30E4">
              <w:rPr>
                <w:rStyle w:val="n"/>
                <w:b/>
                <w:bCs/>
                <w:color w:val="000000"/>
                <w:sz w:val="28"/>
                <w:szCs w:val="28"/>
                <w:bdr w:val="single" w:sz="2" w:space="0" w:color="auto" w:frame="1"/>
              </w:rPr>
              <w:t>738</w:t>
            </w:r>
            <w:r w:rsidRPr="001B30E4">
              <w:rPr>
                <w:rStyle w:val="ns"/>
                <w:rFonts w:eastAsiaTheme="majorEastAsia"/>
                <w:b/>
                <w:bCs/>
                <w:color w:val="000000"/>
                <w:sz w:val="28"/>
                <w:szCs w:val="28"/>
                <w:bdr w:val="single" w:sz="2" w:space="0" w:color="auto" w:frame="1"/>
              </w:rPr>
              <w:t>,</w:t>
            </w:r>
            <w:r w:rsidRPr="001B30E4">
              <w:rPr>
                <w:rStyle w:val="n"/>
                <w:b/>
                <w:bCs/>
                <w:color w:val="000000"/>
                <w:sz w:val="28"/>
                <w:szCs w:val="28"/>
                <w:bdr w:val="single" w:sz="2" w:space="0" w:color="auto" w:frame="1"/>
              </w:rPr>
              <w:t>943</w:t>
            </w:r>
            <w:r w:rsidRPr="001B30E4">
              <w:rPr>
                <w:rStyle w:val="ns"/>
                <w:rFonts w:eastAsiaTheme="majorEastAsia"/>
                <w:b/>
                <w:bCs/>
                <w:color w:val="000000"/>
                <w:sz w:val="28"/>
                <w:szCs w:val="28"/>
                <w:bdr w:val="single" w:sz="2" w:space="0" w:color="auto" w:frame="1"/>
              </w:rPr>
              <w:t>,</w:t>
            </w:r>
            <w:r w:rsidRPr="001B30E4">
              <w:rPr>
                <w:rStyle w:val="n"/>
                <w:b/>
                <w:bCs/>
                <w:color w:val="000000"/>
                <w:sz w:val="28"/>
                <w:szCs w:val="28"/>
                <w:bdr w:val="single" w:sz="2" w:space="0" w:color="auto" w:frame="1"/>
              </w:rPr>
              <w:t>129</w:t>
            </w:r>
            <w:r w:rsidRPr="001B30E4">
              <w:rPr>
                <w:rStyle w:val="block"/>
                <w:b/>
                <w:bCs/>
                <w:color w:val="000000"/>
                <w:sz w:val="28"/>
                <w:szCs w:val="28"/>
                <w:bdr w:val="single" w:sz="2" w:space="0" w:color="auto" w:frame="1"/>
              </w:rPr>
              <w:t>USD</w:t>
            </w:r>
          </w:p>
        </w:tc>
        <w:tc>
          <w:tcPr>
            <w:tcW w:w="1460" w:type="dxa"/>
          </w:tcPr>
          <w:p w14:paraId="26A12B38" w14:textId="77777777" w:rsidR="008F4F07" w:rsidRDefault="008F4F07" w:rsidP="00370AD9">
            <w:pPr>
              <w:pStyle w:val="pb-3"/>
              <w:spacing w:line="360" w:lineRule="auto"/>
              <w:jc w:val="both"/>
              <w:rPr>
                <w:color w:val="000000"/>
                <w:sz w:val="28"/>
                <w:szCs w:val="28"/>
              </w:rPr>
            </w:pPr>
            <w:r>
              <w:rPr>
                <w:color w:val="000000"/>
                <w:sz w:val="28"/>
                <w:szCs w:val="28"/>
                <w:lang w:val="en-US"/>
              </w:rPr>
              <w:t>0.9 % of portfolio</w:t>
            </w:r>
          </w:p>
        </w:tc>
        <w:tc>
          <w:tcPr>
            <w:tcW w:w="1478" w:type="dxa"/>
          </w:tcPr>
          <w:p w14:paraId="1003C762" w14:textId="77777777" w:rsidR="008F4F07" w:rsidRPr="004D394F" w:rsidRDefault="008F4F07" w:rsidP="00370AD9">
            <w:pPr>
              <w:pStyle w:val="pb-3"/>
              <w:spacing w:line="360" w:lineRule="auto"/>
              <w:jc w:val="both"/>
              <w:rPr>
                <w:color w:val="000000"/>
                <w:sz w:val="28"/>
                <w:szCs w:val="28"/>
                <w:lang w:val="en-US"/>
              </w:rPr>
            </w:pPr>
            <w:r>
              <w:rPr>
                <w:color w:val="000000"/>
                <w:sz w:val="28"/>
                <w:szCs w:val="28"/>
                <w:lang w:val="en-US"/>
              </w:rPr>
              <w:t xml:space="preserve">3 countries </w:t>
            </w:r>
          </w:p>
        </w:tc>
        <w:tc>
          <w:tcPr>
            <w:tcW w:w="1659" w:type="dxa"/>
          </w:tcPr>
          <w:p w14:paraId="7C04AB60" w14:textId="77777777" w:rsidR="008F4F07" w:rsidRPr="004D394F" w:rsidRDefault="008F4F07" w:rsidP="00370AD9">
            <w:pPr>
              <w:pStyle w:val="pb-3"/>
              <w:spacing w:line="360" w:lineRule="auto"/>
              <w:jc w:val="both"/>
              <w:rPr>
                <w:color w:val="000000"/>
                <w:sz w:val="28"/>
                <w:szCs w:val="28"/>
                <w:lang w:val="en-US"/>
              </w:rPr>
            </w:pPr>
            <w:r>
              <w:rPr>
                <w:color w:val="000000"/>
                <w:sz w:val="28"/>
                <w:szCs w:val="28"/>
                <w:lang w:val="en-US"/>
              </w:rPr>
              <w:t xml:space="preserve">4 investments </w:t>
            </w:r>
          </w:p>
        </w:tc>
      </w:tr>
    </w:tbl>
    <w:p w14:paraId="6D0B1AA9"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Source; </w:t>
      </w:r>
      <w:hyperlink r:id="rId11" w:anchor="/" w:history="1">
        <w:proofErr w:type="spellStart"/>
        <w:r w:rsidRPr="004D394F">
          <w:rPr>
            <w:rStyle w:val="Hyperlink"/>
            <w:rFonts w:eastAsiaTheme="majorEastAsia"/>
            <w:sz w:val="28"/>
            <w:szCs w:val="28"/>
            <w:lang w:val="en-US"/>
          </w:rPr>
          <w:t>Norges</w:t>
        </w:r>
        <w:proofErr w:type="spellEnd"/>
        <w:r w:rsidRPr="004D394F">
          <w:rPr>
            <w:rStyle w:val="Hyperlink"/>
            <w:rFonts w:eastAsiaTheme="majorEastAsia"/>
            <w:sz w:val="28"/>
            <w:szCs w:val="28"/>
            <w:lang w:val="en-US"/>
          </w:rPr>
          <w:t xml:space="preserve"> Bank Investment Management</w:t>
        </w:r>
      </w:hyperlink>
      <w:r>
        <w:rPr>
          <w:rStyle w:val="FootnoteReference"/>
          <w:color w:val="467886" w:themeColor="hyperlink"/>
          <w:sz w:val="28"/>
          <w:szCs w:val="28"/>
          <w:u w:val="single"/>
          <w:lang w:val="en-US"/>
        </w:rPr>
        <w:footnoteReference w:id="3"/>
      </w:r>
    </w:p>
    <w:p w14:paraId="5E0ABA6E"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Having had analyzed the Norwegian Government Pension Fund Global Portfolio, we can conclude that the fund Opted for Portfolio Diversification type of investment strategy. </w:t>
      </w:r>
    </w:p>
    <w:p w14:paraId="5C9F03AC"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Portfolio Diversification is an investment strategy that involves spreading the investment across different assets and at times different regions with the aim of minimizing losses and maximizing returns.  Portfolio Diversification has become increasing popular in finance today such that it is not only adapted by big businesses but by also government and individual. </w:t>
      </w:r>
    </w:p>
    <w:p w14:paraId="5B5CC509"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lastRenderedPageBreak/>
        <w:t xml:space="preserve"> Portfolio Diversification has a lot of advantages as an investment strategy. Some of these advantages can be explained by Markowitz Modern portfolio Theory (MPT)</w:t>
      </w:r>
    </w:p>
    <w:p w14:paraId="10FFC529"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According to Markowitz, diversification reduces idiosyncratic risks by investing and owning assets that do not have a positive correlation between them. An Idiosyncratic risk is a type of risk associated with investing in only one asset e.g. Bonds. The notion behind diversified portfolio is that in case of any loss in one particular asset under the portfolio, that loss can easily be offset by a gain in another asset under the same portfolio. Markowitz does emphasize that assets can be from different classes, industries and even different geopolitical locations, but the main important thing is to make sure that these assets are not positively correlated.</w:t>
      </w:r>
    </w:p>
    <w:p w14:paraId="3F3B7609"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In addition, Portfolio diversification, provides an opportunity to access new emerging markets which have potential of producing higher returns on investment. Investors are often looking at trends within industries to take advantage of.  And diversification is one of the main keys to achieving this.</w:t>
      </w:r>
    </w:p>
    <w:p w14:paraId="672BFD53" w14:textId="77777777" w:rsidR="008F4F07" w:rsidRDefault="008F4F07" w:rsidP="008F4F07">
      <w:pPr>
        <w:pStyle w:val="pb-3"/>
        <w:spacing w:line="360" w:lineRule="auto"/>
        <w:jc w:val="both"/>
        <w:rPr>
          <w:color w:val="000000"/>
          <w:sz w:val="28"/>
          <w:szCs w:val="28"/>
          <w:lang w:val="en-US"/>
        </w:rPr>
      </w:pPr>
      <w:r>
        <w:rPr>
          <w:color w:val="000000"/>
          <w:sz w:val="28"/>
          <w:szCs w:val="28"/>
          <w:lang w:val="en-US"/>
        </w:rPr>
        <w:t xml:space="preserve">The Norwegian Government Fund Global is in this case the perfect example on how a diversified portfolio should be and must be set up. According to a lot of investment research, a diversified portfolio is often made up of Stocks, bonds and real estate and as we have already established these three are the main investments in Norway’s Sovereign Wealth Fund. </w:t>
      </w:r>
    </w:p>
    <w:p w14:paraId="1DA252FD" w14:textId="77777777" w:rsidR="008F4F07" w:rsidRPr="00571BA0" w:rsidRDefault="008F4F07" w:rsidP="008F4F07">
      <w:pPr>
        <w:pStyle w:val="pb-3"/>
        <w:spacing w:line="360" w:lineRule="auto"/>
        <w:jc w:val="both"/>
        <w:rPr>
          <w:color w:val="000000"/>
          <w:sz w:val="28"/>
          <w:szCs w:val="28"/>
          <w:lang w:val="en-US"/>
        </w:rPr>
      </w:pPr>
      <w:r>
        <w:rPr>
          <w:color w:val="000000"/>
          <w:sz w:val="28"/>
          <w:szCs w:val="28"/>
          <w:lang w:val="en-US"/>
        </w:rPr>
        <w:t xml:space="preserve">In conclusion, the Norwegian Government Pension Fund Global (GPFG) is the perfect benchmark for any Sovereign wealth Fund already established or looking to be set up and its diversification approach as contributed greatly </w:t>
      </w:r>
      <w:proofErr w:type="gramStart"/>
      <w:r>
        <w:rPr>
          <w:color w:val="000000"/>
          <w:sz w:val="28"/>
          <w:szCs w:val="28"/>
          <w:lang w:val="en-US"/>
        </w:rPr>
        <w:t>in</w:t>
      </w:r>
      <w:proofErr w:type="gramEnd"/>
      <w:r>
        <w:rPr>
          <w:color w:val="000000"/>
          <w:sz w:val="28"/>
          <w:szCs w:val="28"/>
          <w:lang w:val="en-US"/>
        </w:rPr>
        <w:t xml:space="preserve"> making this fund the world’s best performing Sovereign wealth Fund. </w:t>
      </w:r>
    </w:p>
    <w:p w14:paraId="39850E51" w14:textId="05FEC2BF" w:rsidR="008F4F07" w:rsidRDefault="008F4F07" w:rsidP="008F4F07"/>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2"/>
        <w:gridCol w:w="8484"/>
      </w:tblGrid>
      <w:tr w:rsidR="008F4F07" w:rsidRPr="008F4F07" w14:paraId="1C356CBC" w14:textId="77777777" w:rsidTr="00370AD9">
        <w:trPr>
          <w:tblCellSpacing w:w="15" w:type="dxa"/>
        </w:trPr>
        <w:tc>
          <w:tcPr>
            <w:tcW w:w="50" w:type="pct"/>
            <w:hideMark/>
          </w:tcPr>
          <w:p w14:paraId="131DFA32" w14:textId="77777777" w:rsidR="008F4F07" w:rsidRPr="008F4F07" w:rsidRDefault="008F4F07" w:rsidP="008F4F07">
            <w:pPr>
              <w:pStyle w:val="Bibliography"/>
              <w:spacing w:line="360" w:lineRule="auto"/>
              <w:rPr>
                <w:rFonts w:ascii="Times New Roman" w:hAnsi="Times New Roman" w:cs="Times New Roman"/>
                <w:noProof/>
                <w:kern w:val="0"/>
                <w:sz w:val="28"/>
                <w:szCs w:val="28"/>
                <w:lang w:val="en-US"/>
                <w14:ligatures w14:val="none"/>
              </w:rPr>
            </w:pPr>
            <w:r w:rsidRPr="008F4F07">
              <w:rPr>
                <w:rFonts w:ascii="Times New Roman" w:hAnsi="Times New Roman" w:cs="Times New Roman"/>
                <w:noProof/>
                <w:sz w:val="28"/>
                <w:szCs w:val="28"/>
                <w:lang w:val="en-US"/>
              </w:rPr>
              <w:lastRenderedPageBreak/>
              <w:t xml:space="preserve">[1] </w:t>
            </w:r>
          </w:p>
        </w:tc>
        <w:tc>
          <w:tcPr>
            <w:tcW w:w="0" w:type="auto"/>
            <w:hideMark/>
          </w:tcPr>
          <w:p w14:paraId="00140CA3"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Aizenman &amp; Glick, "SOVEREIGN WEALTH FUNDS: STYLIZED FACTS ABOUT THEIR DETERMINANTS AND GOVERNANCE," </w:t>
            </w:r>
            <w:r w:rsidRPr="008F4F07">
              <w:rPr>
                <w:rFonts w:ascii="Times New Roman" w:hAnsi="Times New Roman" w:cs="Times New Roman"/>
                <w:i/>
                <w:iCs/>
                <w:noProof/>
                <w:sz w:val="28"/>
                <w:szCs w:val="28"/>
                <w:lang w:val="en-US"/>
              </w:rPr>
              <w:t xml:space="preserve">National Bureau Of Economic Research, </w:t>
            </w:r>
            <w:r w:rsidRPr="008F4F07">
              <w:rPr>
                <w:rFonts w:ascii="Times New Roman" w:hAnsi="Times New Roman" w:cs="Times New Roman"/>
                <w:noProof/>
                <w:sz w:val="28"/>
                <w:szCs w:val="28"/>
                <w:lang w:val="en-US"/>
              </w:rPr>
              <w:t xml:space="preserve">p. 1, 2008. </w:t>
            </w:r>
          </w:p>
        </w:tc>
      </w:tr>
      <w:tr w:rsidR="008F4F07" w:rsidRPr="008F4F07" w14:paraId="02126056" w14:textId="77777777" w:rsidTr="00370AD9">
        <w:trPr>
          <w:tblCellSpacing w:w="15" w:type="dxa"/>
        </w:trPr>
        <w:tc>
          <w:tcPr>
            <w:tcW w:w="50" w:type="pct"/>
            <w:hideMark/>
          </w:tcPr>
          <w:p w14:paraId="48991F85"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[2] </w:t>
            </w:r>
          </w:p>
        </w:tc>
        <w:tc>
          <w:tcPr>
            <w:tcW w:w="0" w:type="auto"/>
            <w:hideMark/>
          </w:tcPr>
          <w:p w14:paraId="355B13C6"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Alan Gelb et al., "Sovereign Wealth Funds and Long-Term Development Finance Risks and Opportunities," </w:t>
            </w:r>
            <w:r w:rsidRPr="008F4F07">
              <w:rPr>
                <w:rFonts w:ascii="Times New Roman" w:hAnsi="Times New Roman" w:cs="Times New Roman"/>
                <w:i/>
                <w:iCs/>
                <w:noProof/>
                <w:sz w:val="28"/>
                <w:szCs w:val="28"/>
                <w:lang w:val="en-US"/>
              </w:rPr>
              <w:t xml:space="preserve">World Bank Working Paper, </w:t>
            </w:r>
            <w:r w:rsidRPr="008F4F07">
              <w:rPr>
                <w:rFonts w:ascii="Times New Roman" w:hAnsi="Times New Roman" w:cs="Times New Roman"/>
                <w:noProof/>
                <w:sz w:val="28"/>
                <w:szCs w:val="28"/>
                <w:lang w:val="en-US"/>
              </w:rPr>
              <w:t xml:space="preserve">2014. </w:t>
            </w:r>
          </w:p>
        </w:tc>
      </w:tr>
      <w:tr w:rsidR="008F4F07" w:rsidRPr="008F4F07" w14:paraId="046658CC" w14:textId="77777777" w:rsidTr="00370AD9">
        <w:trPr>
          <w:tblCellSpacing w:w="15" w:type="dxa"/>
        </w:trPr>
        <w:tc>
          <w:tcPr>
            <w:tcW w:w="50" w:type="pct"/>
            <w:hideMark/>
          </w:tcPr>
          <w:p w14:paraId="160668B6"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[3] </w:t>
            </w:r>
          </w:p>
        </w:tc>
        <w:tc>
          <w:tcPr>
            <w:tcW w:w="0" w:type="auto"/>
            <w:hideMark/>
          </w:tcPr>
          <w:p w14:paraId="0EEBBAB5"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IMF, "Setting up a Sovereign Wealth Fund: Some Policy and Operational Considerations," </w:t>
            </w:r>
            <w:r w:rsidRPr="008F4F07">
              <w:rPr>
                <w:rFonts w:ascii="Times New Roman" w:hAnsi="Times New Roman" w:cs="Times New Roman"/>
                <w:i/>
                <w:iCs/>
                <w:noProof/>
                <w:sz w:val="28"/>
                <w:szCs w:val="28"/>
                <w:lang w:val="en-US"/>
              </w:rPr>
              <w:t xml:space="preserve">IMF working paper, </w:t>
            </w:r>
            <w:r w:rsidRPr="008F4F07">
              <w:rPr>
                <w:rFonts w:ascii="Times New Roman" w:hAnsi="Times New Roman" w:cs="Times New Roman"/>
                <w:noProof/>
                <w:sz w:val="28"/>
                <w:szCs w:val="28"/>
                <w:lang w:val="en-US"/>
              </w:rPr>
              <w:t xml:space="preserve">pp. 4-5, 2009. </w:t>
            </w:r>
          </w:p>
        </w:tc>
      </w:tr>
      <w:tr w:rsidR="008F4F07" w:rsidRPr="008F4F07" w14:paraId="7B684C17" w14:textId="77777777" w:rsidTr="00370AD9">
        <w:trPr>
          <w:tblCellSpacing w:w="15" w:type="dxa"/>
        </w:trPr>
        <w:tc>
          <w:tcPr>
            <w:tcW w:w="50" w:type="pct"/>
            <w:hideMark/>
          </w:tcPr>
          <w:p w14:paraId="65692F92"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[4] </w:t>
            </w:r>
          </w:p>
        </w:tc>
        <w:tc>
          <w:tcPr>
            <w:tcW w:w="0" w:type="auto"/>
            <w:hideMark/>
          </w:tcPr>
          <w:p w14:paraId="0F52ED5A"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Ermanno Affuso, Khandokar M. Istiak,Alex Sharland, "Sovereign wealth funds and economic growth," </w:t>
            </w:r>
            <w:r w:rsidRPr="008F4F07">
              <w:rPr>
                <w:rFonts w:ascii="Times New Roman" w:hAnsi="Times New Roman" w:cs="Times New Roman"/>
                <w:i/>
                <w:iCs/>
                <w:noProof/>
                <w:sz w:val="28"/>
                <w:szCs w:val="28"/>
                <w:lang w:val="en-US"/>
              </w:rPr>
              <w:t xml:space="preserve">journal of Asset Managemnt , </w:t>
            </w:r>
            <w:r w:rsidRPr="008F4F07">
              <w:rPr>
                <w:rFonts w:ascii="Times New Roman" w:hAnsi="Times New Roman" w:cs="Times New Roman"/>
                <w:noProof/>
                <w:sz w:val="28"/>
                <w:szCs w:val="28"/>
                <w:lang w:val="en-US"/>
              </w:rPr>
              <w:t xml:space="preserve">p. 201, 2022. </w:t>
            </w:r>
          </w:p>
        </w:tc>
      </w:tr>
      <w:tr w:rsidR="008F4F07" w:rsidRPr="008F4F07" w14:paraId="18482151" w14:textId="77777777" w:rsidTr="00370AD9">
        <w:trPr>
          <w:tblCellSpacing w:w="15" w:type="dxa"/>
        </w:trPr>
        <w:tc>
          <w:tcPr>
            <w:tcW w:w="50" w:type="pct"/>
            <w:hideMark/>
          </w:tcPr>
          <w:p w14:paraId="6B3C099C"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[5] </w:t>
            </w:r>
          </w:p>
        </w:tc>
        <w:tc>
          <w:tcPr>
            <w:tcW w:w="0" w:type="auto"/>
            <w:hideMark/>
          </w:tcPr>
          <w:p w14:paraId="79499E3A"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pwc, 2020. [Online]. Available: https://www.pwc.com/gx/en/sovereign-wealth-investment-funds/publications/assets/sovereign-investors-2020.pdf.</w:t>
            </w:r>
          </w:p>
        </w:tc>
      </w:tr>
      <w:tr w:rsidR="008F4F07" w:rsidRPr="008F4F07" w14:paraId="40AEC507" w14:textId="77777777" w:rsidTr="00370AD9">
        <w:trPr>
          <w:tblCellSpacing w:w="15" w:type="dxa"/>
        </w:trPr>
        <w:tc>
          <w:tcPr>
            <w:tcW w:w="50" w:type="pct"/>
            <w:hideMark/>
          </w:tcPr>
          <w:p w14:paraId="2232D8D9"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[6] </w:t>
            </w:r>
          </w:p>
        </w:tc>
        <w:tc>
          <w:tcPr>
            <w:tcW w:w="0" w:type="auto"/>
            <w:hideMark/>
          </w:tcPr>
          <w:p w14:paraId="13B5CE0F"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Teslik, "Sovereign Wealth Funds: A primer on government funds charged with investing currency reserves for profit.," </w:t>
            </w:r>
            <w:r w:rsidRPr="008F4F07">
              <w:rPr>
                <w:rFonts w:ascii="Times New Roman" w:hAnsi="Times New Roman" w:cs="Times New Roman"/>
                <w:i/>
                <w:iCs/>
                <w:noProof/>
                <w:sz w:val="28"/>
                <w:szCs w:val="28"/>
                <w:lang w:val="en-US"/>
              </w:rPr>
              <w:t xml:space="preserve">Council on Foreignn Relations, </w:t>
            </w:r>
            <w:r w:rsidRPr="008F4F07">
              <w:rPr>
                <w:rFonts w:ascii="Times New Roman" w:hAnsi="Times New Roman" w:cs="Times New Roman"/>
                <w:noProof/>
                <w:sz w:val="28"/>
                <w:szCs w:val="28"/>
                <w:lang w:val="en-US"/>
              </w:rPr>
              <w:t xml:space="preserve">2009. </w:t>
            </w:r>
          </w:p>
        </w:tc>
      </w:tr>
      <w:tr w:rsidR="008F4F07" w:rsidRPr="008F4F07" w14:paraId="326705B0" w14:textId="77777777" w:rsidTr="00370AD9">
        <w:trPr>
          <w:tblCellSpacing w:w="15" w:type="dxa"/>
        </w:trPr>
        <w:tc>
          <w:tcPr>
            <w:tcW w:w="50" w:type="pct"/>
            <w:hideMark/>
          </w:tcPr>
          <w:p w14:paraId="0BC9847F"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[7] </w:t>
            </w:r>
          </w:p>
        </w:tc>
        <w:tc>
          <w:tcPr>
            <w:tcW w:w="0" w:type="auto"/>
            <w:hideMark/>
          </w:tcPr>
          <w:p w14:paraId="4CECC5A4"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James, "Sovereign Wealth Funds in Theory and Practice," </w:t>
            </w:r>
            <w:r w:rsidRPr="008F4F07">
              <w:rPr>
                <w:rFonts w:ascii="Times New Roman" w:hAnsi="Times New Roman" w:cs="Times New Roman"/>
                <w:i/>
                <w:iCs/>
                <w:noProof/>
                <w:sz w:val="28"/>
                <w:szCs w:val="28"/>
                <w:lang w:val="en-US"/>
              </w:rPr>
              <w:t xml:space="preserve">Annual Reviews of Economic Resources , </w:t>
            </w:r>
            <w:r w:rsidRPr="008F4F07">
              <w:rPr>
                <w:rFonts w:ascii="Times New Roman" w:hAnsi="Times New Roman" w:cs="Times New Roman"/>
                <w:noProof/>
                <w:sz w:val="28"/>
                <w:szCs w:val="28"/>
                <w:lang w:val="en-US"/>
              </w:rPr>
              <w:t xml:space="preserve">pp. 621 -648, 2022. </w:t>
            </w:r>
          </w:p>
        </w:tc>
      </w:tr>
      <w:tr w:rsidR="008F4F07" w:rsidRPr="008F4F07" w14:paraId="3F0F2F5C" w14:textId="77777777" w:rsidTr="00370AD9">
        <w:trPr>
          <w:tblCellSpacing w:w="15" w:type="dxa"/>
        </w:trPr>
        <w:tc>
          <w:tcPr>
            <w:tcW w:w="50" w:type="pct"/>
            <w:hideMark/>
          </w:tcPr>
          <w:p w14:paraId="3551F400"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[8] </w:t>
            </w:r>
          </w:p>
        </w:tc>
        <w:tc>
          <w:tcPr>
            <w:tcW w:w="0" w:type="auto"/>
            <w:hideMark/>
          </w:tcPr>
          <w:p w14:paraId="240A6D48"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M. Ncube, "How we made it in Africa," 03. 09. 2018. [Online]. Available: https://www.howwemadeitinafrica.com/mthuli-ncube-a-zimbabwe-national-venture-capital-fund/62112/. [Accessed 12. 11. 2023].</w:t>
            </w:r>
          </w:p>
        </w:tc>
      </w:tr>
      <w:tr w:rsidR="008F4F07" w:rsidRPr="008F4F07" w14:paraId="5B0C9FAD" w14:textId="77777777" w:rsidTr="00370AD9">
        <w:trPr>
          <w:tblCellSpacing w:w="15" w:type="dxa"/>
        </w:trPr>
        <w:tc>
          <w:tcPr>
            <w:tcW w:w="50" w:type="pct"/>
            <w:hideMark/>
          </w:tcPr>
          <w:p w14:paraId="4498ABD9"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[9] </w:t>
            </w:r>
          </w:p>
        </w:tc>
        <w:tc>
          <w:tcPr>
            <w:tcW w:w="0" w:type="auto"/>
            <w:hideMark/>
          </w:tcPr>
          <w:p w14:paraId="30056BFD"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K. T. Jan Cernohosky, "The Importance and Perspectives of Sovereign Wealth Funds on the Globalised Economy," in </w:t>
            </w:r>
            <w:r w:rsidRPr="008F4F07">
              <w:rPr>
                <w:rFonts w:ascii="Times New Roman" w:hAnsi="Times New Roman" w:cs="Times New Roman"/>
                <w:i/>
                <w:iCs/>
                <w:noProof/>
                <w:sz w:val="28"/>
                <w:szCs w:val="28"/>
                <w:lang w:val="en-US"/>
              </w:rPr>
              <w:t>SHS Web of Conferences 92,03006</w:t>
            </w:r>
            <w:r w:rsidRPr="008F4F07">
              <w:rPr>
                <w:rFonts w:ascii="Times New Roman" w:hAnsi="Times New Roman" w:cs="Times New Roman"/>
                <w:noProof/>
                <w:sz w:val="28"/>
                <w:szCs w:val="28"/>
                <w:lang w:val="en-US"/>
              </w:rPr>
              <w:t xml:space="preserve">, Parubice, Czech Republic, 2021. </w:t>
            </w:r>
          </w:p>
        </w:tc>
      </w:tr>
      <w:tr w:rsidR="008F4F07" w:rsidRPr="008F4F07" w14:paraId="1999910A" w14:textId="77777777" w:rsidTr="00370AD9">
        <w:trPr>
          <w:tblCellSpacing w:w="15" w:type="dxa"/>
        </w:trPr>
        <w:tc>
          <w:tcPr>
            <w:tcW w:w="50" w:type="pct"/>
            <w:hideMark/>
          </w:tcPr>
          <w:p w14:paraId="0E5696BA"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[10] </w:t>
            </w:r>
          </w:p>
        </w:tc>
        <w:tc>
          <w:tcPr>
            <w:tcW w:w="0" w:type="auto"/>
            <w:hideMark/>
          </w:tcPr>
          <w:p w14:paraId="2AE1201C"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Soveregn Wealth Fund Institute ( SWFI), "Soveregn Wealth Fund Institute ( SWFI)," 05 04 2021. [Online]. Available: https://www.swfinstitute.org/news/86134/sovereign-wealth-fund-definition. [Accessed 01 2024].</w:t>
            </w:r>
          </w:p>
        </w:tc>
      </w:tr>
      <w:tr w:rsidR="008F4F07" w:rsidRPr="008F4F07" w14:paraId="2BB826AA" w14:textId="77777777" w:rsidTr="00370AD9">
        <w:trPr>
          <w:tblCellSpacing w:w="15" w:type="dxa"/>
        </w:trPr>
        <w:tc>
          <w:tcPr>
            <w:tcW w:w="50" w:type="pct"/>
            <w:hideMark/>
          </w:tcPr>
          <w:p w14:paraId="335DEF52"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lastRenderedPageBreak/>
              <w:t xml:space="preserve">[11] </w:t>
            </w:r>
          </w:p>
        </w:tc>
        <w:tc>
          <w:tcPr>
            <w:tcW w:w="0" w:type="auto"/>
            <w:hideMark/>
          </w:tcPr>
          <w:p w14:paraId="35B2E997"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Kuwait Investment Authority, 2024. [Online]. Available: https://www.kia.gov.kw/about-kia/#maindate. [Accessed 02 2024].</w:t>
            </w:r>
          </w:p>
        </w:tc>
      </w:tr>
      <w:tr w:rsidR="008F4F07" w:rsidRPr="008F4F07" w14:paraId="33F80CEF" w14:textId="77777777" w:rsidTr="00370AD9">
        <w:trPr>
          <w:tblCellSpacing w:w="15" w:type="dxa"/>
        </w:trPr>
        <w:tc>
          <w:tcPr>
            <w:tcW w:w="50" w:type="pct"/>
            <w:hideMark/>
          </w:tcPr>
          <w:p w14:paraId="52B0154F"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[12] </w:t>
            </w:r>
          </w:p>
        </w:tc>
        <w:tc>
          <w:tcPr>
            <w:tcW w:w="0" w:type="auto"/>
            <w:hideMark/>
          </w:tcPr>
          <w:p w14:paraId="482E5177"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UNCTAD, "World Investment Report," UNCTAD, 2023.</w:t>
            </w:r>
          </w:p>
        </w:tc>
      </w:tr>
      <w:tr w:rsidR="008F4F07" w:rsidRPr="008F4F07" w14:paraId="10928EFF" w14:textId="77777777" w:rsidTr="00370AD9">
        <w:trPr>
          <w:tblCellSpacing w:w="15" w:type="dxa"/>
        </w:trPr>
        <w:tc>
          <w:tcPr>
            <w:tcW w:w="50" w:type="pct"/>
            <w:hideMark/>
          </w:tcPr>
          <w:p w14:paraId="4E150A56"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[13] </w:t>
            </w:r>
          </w:p>
        </w:tc>
        <w:tc>
          <w:tcPr>
            <w:tcW w:w="0" w:type="auto"/>
            <w:hideMark/>
          </w:tcPr>
          <w:p w14:paraId="183A5318"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WrenHouse, "WrenHouse," 2023. [Online]. Available: https://www.whinfra.com/about/our-history/.</w:t>
            </w:r>
          </w:p>
        </w:tc>
      </w:tr>
      <w:tr w:rsidR="008F4F07" w:rsidRPr="008F4F07" w14:paraId="24D6C6CE" w14:textId="77777777" w:rsidTr="00370AD9">
        <w:trPr>
          <w:tblCellSpacing w:w="15" w:type="dxa"/>
        </w:trPr>
        <w:tc>
          <w:tcPr>
            <w:tcW w:w="50" w:type="pct"/>
            <w:hideMark/>
          </w:tcPr>
          <w:p w14:paraId="618486DB"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[14] </w:t>
            </w:r>
          </w:p>
        </w:tc>
        <w:tc>
          <w:tcPr>
            <w:tcW w:w="0" w:type="auto"/>
            <w:hideMark/>
          </w:tcPr>
          <w:p w14:paraId="34365E92"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Tamasek Foundation, 2023. [Online]. Available: https://www.temasekfoundation.org.sg/report2023/Index.html.</w:t>
            </w:r>
          </w:p>
        </w:tc>
      </w:tr>
      <w:tr w:rsidR="008F4F07" w:rsidRPr="008F4F07" w14:paraId="57C5616E" w14:textId="77777777" w:rsidTr="00370AD9">
        <w:trPr>
          <w:tblCellSpacing w:w="15" w:type="dxa"/>
        </w:trPr>
        <w:tc>
          <w:tcPr>
            <w:tcW w:w="50" w:type="pct"/>
            <w:hideMark/>
          </w:tcPr>
          <w:p w14:paraId="5E95966A"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[15] </w:t>
            </w:r>
          </w:p>
        </w:tc>
        <w:tc>
          <w:tcPr>
            <w:tcW w:w="0" w:type="auto"/>
            <w:hideMark/>
          </w:tcPr>
          <w:p w14:paraId="2BB84896"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Enel Green Power, 07. 01. 2021. [Online]. Available: https://www.enelgreenpower.com/media/press/2021/01/enel-and-qatar-investment-authority-join-forces-to-develop-renewables-in-sub-saharan-africa. [Accessed 02. 2024].</w:t>
            </w:r>
          </w:p>
        </w:tc>
      </w:tr>
      <w:tr w:rsidR="008F4F07" w:rsidRPr="008F4F07" w14:paraId="2C359878" w14:textId="77777777" w:rsidTr="00370AD9">
        <w:trPr>
          <w:tblCellSpacing w:w="15" w:type="dxa"/>
        </w:trPr>
        <w:tc>
          <w:tcPr>
            <w:tcW w:w="50" w:type="pct"/>
            <w:hideMark/>
          </w:tcPr>
          <w:p w14:paraId="4A37A8FA"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[16] </w:t>
            </w:r>
          </w:p>
        </w:tc>
        <w:tc>
          <w:tcPr>
            <w:tcW w:w="0" w:type="auto"/>
            <w:hideMark/>
          </w:tcPr>
          <w:p w14:paraId="545A6DDD"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e. a. Amadou N Sy, Beyond the Curse Policies to Harness the Power of Natural Resources, International Monetary Fund, 2012, p. 288.</w:t>
            </w:r>
          </w:p>
        </w:tc>
      </w:tr>
      <w:tr w:rsidR="008F4F07" w:rsidRPr="008F4F07" w14:paraId="6D30C518" w14:textId="77777777" w:rsidTr="00370AD9">
        <w:trPr>
          <w:tblCellSpacing w:w="15" w:type="dxa"/>
        </w:trPr>
        <w:tc>
          <w:tcPr>
            <w:tcW w:w="50" w:type="pct"/>
            <w:hideMark/>
          </w:tcPr>
          <w:p w14:paraId="1F26FDA0"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[17] </w:t>
            </w:r>
          </w:p>
        </w:tc>
        <w:tc>
          <w:tcPr>
            <w:tcW w:w="0" w:type="auto"/>
            <w:hideMark/>
          </w:tcPr>
          <w:p w14:paraId="35DCA849"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A. M. Halvorssen, "The Norwegian Sovereign Wealth Fund Addresses the interelated challenges of Climate Change and Sustainable Development - A model for regulating Sovereign Wealth Funds(SWF)," in </w:t>
            </w:r>
            <w:r w:rsidRPr="008F4F07">
              <w:rPr>
                <w:rFonts w:ascii="Times New Roman" w:hAnsi="Times New Roman" w:cs="Times New Roman"/>
                <w:i/>
                <w:iCs/>
                <w:noProof/>
                <w:sz w:val="28"/>
                <w:szCs w:val="28"/>
                <w:lang w:val="en-US"/>
              </w:rPr>
              <w:t>AsianSIL -Nus Symposium on Sovereign Wealth fund</w:t>
            </w:r>
            <w:r w:rsidRPr="008F4F07">
              <w:rPr>
                <w:rFonts w:ascii="Times New Roman" w:hAnsi="Times New Roman" w:cs="Times New Roman"/>
                <w:noProof/>
                <w:sz w:val="28"/>
                <w:szCs w:val="28"/>
                <w:lang w:val="en-US"/>
              </w:rPr>
              <w:t xml:space="preserve">, Queenstown, 2009. </w:t>
            </w:r>
          </w:p>
        </w:tc>
      </w:tr>
      <w:tr w:rsidR="008F4F07" w:rsidRPr="008F4F07" w14:paraId="068CA362" w14:textId="77777777" w:rsidTr="00370AD9">
        <w:trPr>
          <w:tblCellSpacing w:w="15" w:type="dxa"/>
        </w:trPr>
        <w:tc>
          <w:tcPr>
            <w:tcW w:w="50" w:type="pct"/>
            <w:hideMark/>
          </w:tcPr>
          <w:p w14:paraId="03061BFD"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[18] </w:t>
            </w:r>
          </w:p>
        </w:tc>
        <w:tc>
          <w:tcPr>
            <w:tcW w:w="0" w:type="auto"/>
            <w:hideMark/>
          </w:tcPr>
          <w:p w14:paraId="1C6C6C8A" w14:textId="77777777" w:rsidR="008F4F07" w:rsidRPr="008F4F07" w:rsidRDefault="008F4F07" w:rsidP="008F4F07">
            <w:pPr>
              <w:pStyle w:val="Bibliography"/>
              <w:spacing w:line="360" w:lineRule="auto"/>
              <w:rPr>
                <w:rFonts w:ascii="Times New Roman" w:hAnsi="Times New Roman" w:cs="Times New Roman"/>
                <w:noProof/>
                <w:sz w:val="28"/>
                <w:szCs w:val="28"/>
                <w:lang w:val="en-US"/>
              </w:rPr>
            </w:pPr>
            <w:r w:rsidRPr="008F4F07">
              <w:rPr>
                <w:rFonts w:ascii="Times New Roman" w:hAnsi="Times New Roman" w:cs="Times New Roman"/>
                <w:noProof/>
                <w:sz w:val="28"/>
                <w:szCs w:val="28"/>
                <w:lang w:val="en-US"/>
              </w:rPr>
              <w:t xml:space="preserve">TAZÉ-BERNARD ERIC, "LONG-TERM MANAGEMENT OF AN OIL OR GAS RENT: THE EXAMPLE OF THE NORWEGIAN SOVEREIGN WEALTH FUND," </w:t>
            </w:r>
            <w:r w:rsidRPr="008F4F07">
              <w:rPr>
                <w:rFonts w:ascii="Times New Roman" w:hAnsi="Times New Roman" w:cs="Times New Roman"/>
                <w:i/>
                <w:iCs/>
                <w:noProof/>
                <w:sz w:val="28"/>
                <w:szCs w:val="28"/>
                <w:lang w:val="en-US"/>
              </w:rPr>
              <w:t xml:space="preserve">Variances.eu, </w:t>
            </w:r>
            <w:r w:rsidRPr="008F4F07">
              <w:rPr>
                <w:rFonts w:ascii="Times New Roman" w:hAnsi="Times New Roman" w:cs="Times New Roman"/>
                <w:noProof/>
                <w:sz w:val="28"/>
                <w:szCs w:val="28"/>
                <w:lang w:val="en-US"/>
              </w:rPr>
              <w:t xml:space="preserve">14. 02. 2020. </w:t>
            </w:r>
          </w:p>
        </w:tc>
      </w:tr>
    </w:tbl>
    <w:p w14:paraId="4DAE8989" w14:textId="77777777" w:rsidR="008F4F07" w:rsidRPr="008F4F07" w:rsidRDefault="008F4F07" w:rsidP="008F4F07">
      <w:pPr>
        <w:spacing w:line="360" w:lineRule="auto"/>
        <w:rPr>
          <w:rFonts w:ascii="Times New Roman" w:hAnsi="Times New Roman" w:cs="Times New Roman"/>
          <w:sz w:val="28"/>
          <w:szCs w:val="28"/>
        </w:rPr>
      </w:pPr>
    </w:p>
    <w:p w14:paraId="7C9C4C09" w14:textId="77777777" w:rsidR="008F4F07" w:rsidRPr="008F4F07" w:rsidRDefault="008F4F07" w:rsidP="008F4F07">
      <w:pPr>
        <w:spacing w:line="360" w:lineRule="auto"/>
        <w:rPr>
          <w:rFonts w:ascii="Times New Roman" w:hAnsi="Times New Roman" w:cs="Times New Roman"/>
          <w:sz w:val="28"/>
          <w:szCs w:val="28"/>
        </w:rPr>
      </w:pPr>
    </w:p>
    <w:sectPr w:rsidR="008F4F07" w:rsidRPr="008F4F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3F19" w14:textId="77777777" w:rsidR="0024135D" w:rsidRDefault="0024135D" w:rsidP="008F4F07">
      <w:r>
        <w:separator/>
      </w:r>
    </w:p>
  </w:endnote>
  <w:endnote w:type="continuationSeparator" w:id="0">
    <w:p w14:paraId="32071664" w14:textId="77777777" w:rsidR="0024135D" w:rsidRDefault="0024135D" w:rsidP="008F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6332" w14:textId="77777777" w:rsidR="0024135D" w:rsidRDefault="0024135D" w:rsidP="008F4F07">
      <w:r>
        <w:separator/>
      </w:r>
    </w:p>
  </w:footnote>
  <w:footnote w:type="continuationSeparator" w:id="0">
    <w:p w14:paraId="18A9B22B" w14:textId="77777777" w:rsidR="0024135D" w:rsidRDefault="0024135D" w:rsidP="008F4F07">
      <w:r>
        <w:continuationSeparator/>
      </w:r>
    </w:p>
  </w:footnote>
  <w:footnote w:id="1">
    <w:p w14:paraId="532D4B34" w14:textId="77777777" w:rsidR="008F4F07" w:rsidRPr="0038608F" w:rsidRDefault="008F4F07" w:rsidP="008F4F07">
      <w:pPr>
        <w:pStyle w:val="FootnoteText"/>
        <w:rPr>
          <w:rFonts w:ascii="Times New Roman" w:hAnsi="Times New Roman" w:cs="Times New Roman"/>
          <w:lang w:val="en-US"/>
        </w:rPr>
      </w:pPr>
      <w:r w:rsidRPr="0038608F">
        <w:rPr>
          <w:rStyle w:val="FootnoteReference"/>
          <w:rFonts w:ascii="Times New Roman" w:hAnsi="Times New Roman" w:cs="Times New Roman"/>
        </w:rPr>
        <w:footnoteRef/>
      </w:r>
      <w:r>
        <w:rPr>
          <w:rFonts w:ascii="Times New Roman" w:hAnsi="Times New Roman" w:cs="Times New Roman"/>
          <w:lang w:val="en-US"/>
        </w:rPr>
        <w:t xml:space="preserve">Source: </w:t>
      </w:r>
      <w:r w:rsidRPr="0038608F">
        <w:rPr>
          <w:rFonts w:ascii="Times New Roman" w:hAnsi="Times New Roman" w:cs="Times New Roman"/>
        </w:rPr>
        <w:t xml:space="preserve"> </w:t>
      </w:r>
      <w:hyperlink r:id="rId1" w:history="1">
        <w:r w:rsidRPr="0038608F">
          <w:rPr>
            <w:rStyle w:val="Hyperlink"/>
            <w:rFonts w:ascii="Times New Roman" w:hAnsi="Times New Roman" w:cs="Times New Roman"/>
          </w:rPr>
          <w:t>https://www.swfinstitute.org/fund-rankings/sovereign-wealth-fund</w:t>
        </w:r>
      </w:hyperlink>
      <w:r w:rsidRPr="0038608F">
        <w:rPr>
          <w:rFonts w:ascii="Times New Roman" w:hAnsi="Times New Roman" w:cs="Times New Roman"/>
          <w:lang w:val="en-US"/>
        </w:rPr>
        <w:t xml:space="preserve"> </w:t>
      </w:r>
      <w:proofErr w:type="gramStart"/>
      <w:r w:rsidRPr="0038608F">
        <w:rPr>
          <w:rFonts w:ascii="Times New Roman" w:hAnsi="Times New Roman" w:cs="Times New Roman"/>
          <w:lang w:val="en-US"/>
        </w:rPr>
        <w:t>( accessed</w:t>
      </w:r>
      <w:proofErr w:type="gramEnd"/>
      <w:r w:rsidRPr="0038608F">
        <w:rPr>
          <w:rFonts w:ascii="Times New Roman" w:hAnsi="Times New Roman" w:cs="Times New Roman"/>
          <w:lang w:val="en-US"/>
        </w:rPr>
        <w:t xml:space="preserve"> on 23.12.2023)</w:t>
      </w:r>
    </w:p>
  </w:footnote>
  <w:footnote w:id="2">
    <w:p w14:paraId="0BAAE502" w14:textId="77777777" w:rsidR="008F4F07" w:rsidRPr="0038608F" w:rsidRDefault="008F4F07" w:rsidP="008F4F07">
      <w:pPr>
        <w:pStyle w:val="FootnoteText"/>
        <w:rPr>
          <w:rFonts w:ascii="Times New Roman" w:hAnsi="Times New Roman" w:cs="Times New Roman"/>
          <w:sz w:val="21"/>
          <w:szCs w:val="21"/>
          <w:lang w:val="en-US"/>
        </w:rPr>
      </w:pPr>
      <w:r w:rsidRPr="0038608F">
        <w:rPr>
          <w:rStyle w:val="FootnoteReference"/>
          <w:rFonts w:ascii="Times New Roman" w:hAnsi="Times New Roman" w:cs="Times New Roman"/>
          <w:sz w:val="21"/>
          <w:szCs w:val="21"/>
        </w:rPr>
        <w:footnoteRef/>
      </w:r>
      <w:r w:rsidRPr="0038608F">
        <w:rPr>
          <w:rFonts w:ascii="Times New Roman" w:hAnsi="Times New Roman" w:cs="Times New Roman"/>
          <w:sz w:val="21"/>
          <w:szCs w:val="21"/>
        </w:rPr>
        <w:t xml:space="preserve"> </w:t>
      </w:r>
      <w:r>
        <w:rPr>
          <w:rFonts w:ascii="Times New Roman" w:hAnsi="Times New Roman" w:cs="Times New Roman"/>
          <w:sz w:val="21"/>
          <w:szCs w:val="21"/>
          <w:lang w:val="en-US"/>
        </w:rPr>
        <w:t xml:space="preserve">Source: </w:t>
      </w:r>
      <w:hyperlink r:id="rId2" w:anchor="ch06ref06" w:history="1">
        <w:r w:rsidRPr="002C37E3">
          <w:rPr>
            <w:rStyle w:val="Hyperlink"/>
            <w:rFonts w:ascii="Times New Roman" w:hAnsi="Times New Roman" w:cs="Times New Roman"/>
            <w:sz w:val="21"/>
            <w:szCs w:val="21"/>
          </w:rPr>
          <w:t>https://www.elibrary.imf.org/display/book/9781616351458/ch006.xml#ch06ref06</w:t>
        </w:r>
      </w:hyperlink>
      <w:r w:rsidRPr="0038608F">
        <w:rPr>
          <w:rFonts w:ascii="Times New Roman" w:hAnsi="Times New Roman" w:cs="Times New Roman"/>
          <w:sz w:val="21"/>
          <w:szCs w:val="21"/>
          <w:lang w:val="en-US"/>
        </w:rPr>
        <w:t xml:space="preserve"> ( accessed on 0</w:t>
      </w:r>
      <w:r>
        <w:rPr>
          <w:rFonts w:ascii="Times New Roman" w:hAnsi="Times New Roman" w:cs="Times New Roman"/>
          <w:sz w:val="21"/>
          <w:szCs w:val="21"/>
          <w:lang w:val="en-US"/>
        </w:rPr>
        <w:t>2</w:t>
      </w:r>
      <w:r w:rsidRPr="0038608F">
        <w:rPr>
          <w:rFonts w:ascii="Times New Roman" w:hAnsi="Times New Roman" w:cs="Times New Roman"/>
          <w:sz w:val="21"/>
          <w:szCs w:val="21"/>
          <w:lang w:val="en-US"/>
        </w:rPr>
        <w:t>.0</w:t>
      </w:r>
      <w:r>
        <w:rPr>
          <w:rFonts w:ascii="Times New Roman" w:hAnsi="Times New Roman" w:cs="Times New Roman"/>
          <w:sz w:val="21"/>
          <w:szCs w:val="21"/>
          <w:lang w:val="en-US"/>
        </w:rPr>
        <w:t>1</w:t>
      </w:r>
      <w:r w:rsidRPr="0038608F">
        <w:rPr>
          <w:rFonts w:ascii="Times New Roman" w:hAnsi="Times New Roman" w:cs="Times New Roman"/>
          <w:sz w:val="21"/>
          <w:szCs w:val="21"/>
          <w:lang w:val="en-US"/>
        </w:rPr>
        <w:t>.2024)</w:t>
      </w:r>
    </w:p>
  </w:footnote>
  <w:footnote w:id="3">
    <w:p w14:paraId="36202C68" w14:textId="77777777" w:rsidR="008F4F07" w:rsidRDefault="008F4F07" w:rsidP="008F4F07">
      <w:pPr>
        <w:pStyle w:val="FootnoteText"/>
        <w:rPr>
          <w:lang w:val="en-US"/>
        </w:rPr>
      </w:pPr>
      <w:r>
        <w:rPr>
          <w:rStyle w:val="FootnoteReference"/>
        </w:rPr>
        <w:footnoteRef/>
      </w:r>
      <w:r>
        <w:t xml:space="preserve"> </w:t>
      </w:r>
      <w:r>
        <w:rPr>
          <w:lang w:val="en-US"/>
        </w:rPr>
        <w:t xml:space="preserve">Source:   </w:t>
      </w:r>
      <w:hyperlink r:id="rId3" w:anchor="/" w:history="1">
        <w:r w:rsidRPr="002C37E3">
          <w:rPr>
            <w:rStyle w:val="Hyperlink"/>
            <w:lang w:val="en-US"/>
          </w:rPr>
          <w:t>https://www.nbim.no/en/the-fund/investments/#/</w:t>
        </w:r>
      </w:hyperlink>
      <w:r>
        <w:rPr>
          <w:lang w:val="en-US"/>
        </w:rPr>
        <w:t xml:space="preserve"> </w:t>
      </w:r>
      <w:proofErr w:type="gramStart"/>
      <w:r>
        <w:rPr>
          <w:lang w:val="en-US"/>
        </w:rPr>
        <w:t>( accessed</w:t>
      </w:r>
      <w:proofErr w:type="gramEnd"/>
      <w:r>
        <w:rPr>
          <w:lang w:val="en-US"/>
        </w:rPr>
        <w:t xml:space="preserve"> on 10.01.2024)</w:t>
      </w:r>
    </w:p>
    <w:p w14:paraId="0B5471D8" w14:textId="77777777" w:rsidR="008F4F07" w:rsidRPr="0038608F" w:rsidRDefault="008F4F07" w:rsidP="008F4F07">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2FF"/>
    <w:multiLevelType w:val="hybridMultilevel"/>
    <w:tmpl w:val="9D7E6F6A"/>
    <w:lvl w:ilvl="0" w:tplc="71984D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C32CB"/>
    <w:multiLevelType w:val="hybridMultilevel"/>
    <w:tmpl w:val="8A7C223E"/>
    <w:lvl w:ilvl="0" w:tplc="71984D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804BA"/>
    <w:multiLevelType w:val="hybridMultilevel"/>
    <w:tmpl w:val="861EC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C438D"/>
    <w:multiLevelType w:val="multilevel"/>
    <w:tmpl w:val="A3E62AC4"/>
    <w:lvl w:ilvl="0">
      <w:start w:val="1"/>
      <w:numFmt w:val="decimal"/>
      <w:lvlText w:val="%1."/>
      <w:lvlJc w:val="left"/>
      <w:pPr>
        <w:ind w:left="794" w:hanging="360"/>
      </w:pPr>
    </w:lvl>
    <w:lvl w:ilvl="1">
      <w:start w:val="2"/>
      <w:numFmt w:val="decimal"/>
      <w:isLgl/>
      <w:lvlText w:val="%1.%2"/>
      <w:lvlJc w:val="left"/>
      <w:pPr>
        <w:ind w:left="794"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514" w:hanging="1080"/>
      </w:pPr>
      <w:rPr>
        <w:rFonts w:hint="default"/>
      </w:rPr>
    </w:lvl>
    <w:lvl w:ilvl="4">
      <w:start w:val="1"/>
      <w:numFmt w:val="decimal"/>
      <w:isLgl/>
      <w:lvlText w:val="%1.%2.%3.%4.%5"/>
      <w:lvlJc w:val="left"/>
      <w:pPr>
        <w:ind w:left="1514" w:hanging="1080"/>
      </w:pPr>
      <w:rPr>
        <w:rFonts w:hint="default"/>
      </w:rPr>
    </w:lvl>
    <w:lvl w:ilvl="5">
      <w:start w:val="1"/>
      <w:numFmt w:val="decimal"/>
      <w:isLgl/>
      <w:lvlText w:val="%1.%2.%3.%4.%5.%6"/>
      <w:lvlJc w:val="left"/>
      <w:pPr>
        <w:ind w:left="1874" w:hanging="1440"/>
      </w:pPr>
      <w:rPr>
        <w:rFonts w:hint="default"/>
      </w:rPr>
    </w:lvl>
    <w:lvl w:ilvl="6">
      <w:start w:val="1"/>
      <w:numFmt w:val="decimal"/>
      <w:isLgl/>
      <w:lvlText w:val="%1.%2.%3.%4.%5.%6.%7"/>
      <w:lvlJc w:val="left"/>
      <w:pPr>
        <w:ind w:left="1874" w:hanging="1440"/>
      </w:pPr>
      <w:rPr>
        <w:rFonts w:hint="default"/>
      </w:rPr>
    </w:lvl>
    <w:lvl w:ilvl="7">
      <w:start w:val="1"/>
      <w:numFmt w:val="decimal"/>
      <w:isLgl/>
      <w:lvlText w:val="%1.%2.%3.%4.%5.%6.%7.%8"/>
      <w:lvlJc w:val="left"/>
      <w:pPr>
        <w:ind w:left="2234" w:hanging="1800"/>
      </w:pPr>
      <w:rPr>
        <w:rFonts w:hint="default"/>
      </w:rPr>
    </w:lvl>
    <w:lvl w:ilvl="8">
      <w:start w:val="1"/>
      <w:numFmt w:val="decimal"/>
      <w:isLgl/>
      <w:lvlText w:val="%1.%2.%3.%4.%5.%6.%7.%8.%9"/>
      <w:lvlJc w:val="left"/>
      <w:pPr>
        <w:ind w:left="2594" w:hanging="2160"/>
      </w:pPr>
      <w:rPr>
        <w:rFonts w:hint="default"/>
      </w:rPr>
    </w:lvl>
  </w:abstractNum>
  <w:num w:numId="1" w16cid:durableId="493254930">
    <w:abstractNumId w:val="0"/>
  </w:num>
  <w:num w:numId="2" w16cid:durableId="1123615494">
    <w:abstractNumId w:val="1"/>
  </w:num>
  <w:num w:numId="3" w16cid:durableId="653722261">
    <w:abstractNumId w:val="2"/>
  </w:num>
  <w:num w:numId="4" w16cid:durableId="3824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07"/>
    <w:rsid w:val="0024135D"/>
    <w:rsid w:val="008F4F07"/>
    <w:rsid w:val="0099359F"/>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2C03AE46"/>
  <w15:chartTrackingRefBased/>
  <w15:docId w15:val="{DA2C59BB-CC64-9944-A251-552BCBA1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07"/>
    <w:pPr>
      <w:spacing w:after="0" w:line="240" w:lineRule="auto"/>
    </w:pPr>
  </w:style>
  <w:style w:type="paragraph" w:styleId="Heading1">
    <w:name w:val="heading 1"/>
    <w:basedOn w:val="Normal"/>
    <w:next w:val="Normal"/>
    <w:link w:val="Heading1Char"/>
    <w:uiPriority w:val="9"/>
    <w:qFormat/>
    <w:rsid w:val="008F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F07"/>
    <w:rPr>
      <w:rFonts w:eastAsiaTheme="majorEastAsia" w:cstheme="majorBidi"/>
      <w:color w:val="272727" w:themeColor="text1" w:themeTint="D8"/>
    </w:rPr>
  </w:style>
  <w:style w:type="paragraph" w:styleId="Title">
    <w:name w:val="Title"/>
    <w:basedOn w:val="Normal"/>
    <w:next w:val="Normal"/>
    <w:link w:val="TitleChar"/>
    <w:uiPriority w:val="10"/>
    <w:qFormat/>
    <w:rsid w:val="008F4F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F07"/>
    <w:pPr>
      <w:spacing w:before="160"/>
      <w:jc w:val="center"/>
    </w:pPr>
    <w:rPr>
      <w:i/>
      <w:iCs/>
      <w:color w:val="404040" w:themeColor="text1" w:themeTint="BF"/>
    </w:rPr>
  </w:style>
  <w:style w:type="character" w:customStyle="1" w:styleId="QuoteChar">
    <w:name w:val="Quote Char"/>
    <w:basedOn w:val="DefaultParagraphFont"/>
    <w:link w:val="Quote"/>
    <w:uiPriority w:val="29"/>
    <w:rsid w:val="008F4F07"/>
    <w:rPr>
      <w:i/>
      <w:iCs/>
      <w:color w:val="404040" w:themeColor="text1" w:themeTint="BF"/>
    </w:rPr>
  </w:style>
  <w:style w:type="paragraph" w:styleId="ListParagraph">
    <w:name w:val="List Paragraph"/>
    <w:basedOn w:val="Normal"/>
    <w:uiPriority w:val="34"/>
    <w:qFormat/>
    <w:rsid w:val="008F4F07"/>
    <w:pPr>
      <w:ind w:left="720"/>
      <w:contextualSpacing/>
    </w:pPr>
  </w:style>
  <w:style w:type="character" w:styleId="IntenseEmphasis">
    <w:name w:val="Intense Emphasis"/>
    <w:basedOn w:val="DefaultParagraphFont"/>
    <w:uiPriority w:val="21"/>
    <w:qFormat/>
    <w:rsid w:val="008F4F07"/>
    <w:rPr>
      <w:i/>
      <w:iCs/>
      <w:color w:val="0F4761" w:themeColor="accent1" w:themeShade="BF"/>
    </w:rPr>
  </w:style>
  <w:style w:type="paragraph" w:styleId="IntenseQuote">
    <w:name w:val="Intense Quote"/>
    <w:basedOn w:val="Normal"/>
    <w:next w:val="Normal"/>
    <w:link w:val="IntenseQuoteChar"/>
    <w:uiPriority w:val="30"/>
    <w:qFormat/>
    <w:rsid w:val="008F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F07"/>
    <w:rPr>
      <w:i/>
      <w:iCs/>
      <w:color w:val="0F4761" w:themeColor="accent1" w:themeShade="BF"/>
    </w:rPr>
  </w:style>
  <w:style w:type="character" w:styleId="IntenseReference">
    <w:name w:val="Intense Reference"/>
    <w:basedOn w:val="DefaultParagraphFont"/>
    <w:uiPriority w:val="32"/>
    <w:qFormat/>
    <w:rsid w:val="008F4F07"/>
    <w:rPr>
      <w:b/>
      <w:bCs/>
      <w:smallCaps/>
      <w:color w:val="0F4761" w:themeColor="accent1" w:themeShade="BF"/>
      <w:spacing w:val="5"/>
    </w:rPr>
  </w:style>
  <w:style w:type="paragraph" w:customStyle="1" w:styleId="pb-3">
    <w:name w:val="pb-3"/>
    <w:basedOn w:val="Normal"/>
    <w:rsid w:val="008F4F0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8F4F0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F4F07"/>
    <w:rPr>
      <w:color w:val="467886" w:themeColor="hyperlink"/>
      <w:u w:val="single"/>
    </w:rPr>
  </w:style>
  <w:style w:type="table" w:styleId="TableGrid">
    <w:name w:val="Table Grid"/>
    <w:basedOn w:val="TableNormal"/>
    <w:uiPriority w:val="39"/>
    <w:rsid w:val="008F4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
    <w:name w:val="n"/>
    <w:basedOn w:val="DefaultParagraphFont"/>
    <w:rsid w:val="008F4F07"/>
  </w:style>
  <w:style w:type="character" w:customStyle="1" w:styleId="ns">
    <w:name w:val="ns"/>
    <w:basedOn w:val="DefaultParagraphFont"/>
    <w:rsid w:val="008F4F07"/>
  </w:style>
  <w:style w:type="character" w:customStyle="1" w:styleId="block">
    <w:name w:val="block"/>
    <w:basedOn w:val="DefaultParagraphFont"/>
    <w:rsid w:val="008F4F07"/>
  </w:style>
  <w:style w:type="table" w:styleId="PlainTable1">
    <w:name w:val="Plain Table 1"/>
    <w:basedOn w:val="TableNormal"/>
    <w:uiPriority w:val="41"/>
    <w:rsid w:val="008F4F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F4F07"/>
    <w:pPr>
      <w:spacing w:after="200"/>
    </w:pPr>
    <w:rPr>
      <w:i/>
      <w:iCs/>
      <w:color w:val="0E2841" w:themeColor="text2"/>
      <w:sz w:val="18"/>
      <w:szCs w:val="18"/>
    </w:rPr>
  </w:style>
  <w:style w:type="paragraph" w:styleId="FootnoteText">
    <w:name w:val="footnote text"/>
    <w:basedOn w:val="Normal"/>
    <w:link w:val="FootnoteTextChar"/>
    <w:uiPriority w:val="99"/>
    <w:semiHidden/>
    <w:unhideWhenUsed/>
    <w:rsid w:val="008F4F07"/>
    <w:rPr>
      <w:sz w:val="20"/>
      <w:szCs w:val="20"/>
    </w:rPr>
  </w:style>
  <w:style w:type="character" w:customStyle="1" w:styleId="FootnoteTextChar">
    <w:name w:val="Footnote Text Char"/>
    <w:basedOn w:val="DefaultParagraphFont"/>
    <w:link w:val="FootnoteText"/>
    <w:uiPriority w:val="99"/>
    <w:semiHidden/>
    <w:rsid w:val="008F4F07"/>
    <w:rPr>
      <w:sz w:val="20"/>
      <w:szCs w:val="20"/>
    </w:rPr>
  </w:style>
  <w:style w:type="character" w:styleId="FootnoteReference">
    <w:name w:val="footnote reference"/>
    <w:basedOn w:val="DefaultParagraphFont"/>
    <w:uiPriority w:val="99"/>
    <w:semiHidden/>
    <w:unhideWhenUsed/>
    <w:rsid w:val="008F4F07"/>
    <w:rPr>
      <w:vertAlign w:val="superscript"/>
    </w:rPr>
  </w:style>
  <w:style w:type="paragraph" w:styleId="Bibliography">
    <w:name w:val="Bibliography"/>
    <w:basedOn w:val="Normal"/>
    <w:next w:val="Normal"/>
    <w:uiPriority w:val="37"/>
    <w:unhideWhenUsed/>
    <w:rsid w:val="008F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finstitute.org/fund-rankings/sovereign-wealth-fu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im.no/en/the-fund/investments/" TargetMode="External"/><Relationship Id="rId5" Type="http://schemas.openxmlformats.org/officeDocument/2006/relationships/webSettings" Target="webSettings.xml"/><Relationship Id="rId10" Type="http://schemas.openxmlformats.org/officeDocument/2006/relationships/hyperlink" Target="https://www.elibrary.imf.org/display/book/9781616351458/ch006.xml"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nbim.no/en/the-fund/investments/" TargetMode="External"/><Relationship Id="rId2" Type="http://schemas.openxmlformats.org/officeDocument/2006/relationships/hyperlink" Target="https://www.elibrary.imf.org/display/book/9781616351458/ch006.xml" TargetMode="External"/><Relationship Id="rId1" Type="http://schemas.openxmlformats.org/officeDocument/2006/relationships/hyperlink" Target="https://www.swfinstitute.org/fund-rankings/sovereign-wealth-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Jos08</b:Tag>
    <b:SourceType>JournalArticle</b:SourceType>
    <b:Guid>{BEB6D58A-59FB-1F48-B122-40CEB5C196F1}</b:Guid>
    <b:Title>SOVEREIGN WEALTH FUNDS: STYLIZED FACTS ABOUT THEIR DETERMINANTS AND GOVERNANCE</b:Title>
    <b:Year>2008</b:Year>
    <b:Author>
      <b:Author>
        <b:Corporate>Aizenman &amp; Glick</b:Corporate>
      </b:Author>
    </b:Author>
    <b:JournalName>National Bureau Of Economic Research</b:JournalName>
    <b:Pages>1</b:Pages>
    <b:RefOrder>1</b:RefOrder>
  </b:Source>
  <b:Source>
    <b:Tag>Ala14</b:Tag>
    <b:SourceType>JournalArticle</b:SourceType>
    <b:Guid>{B588F23A-BC86-344C-ABCC-404CA940A712}</b:Guid>
    <b:Author>
      <b:Author>
        <b:Corporate>Alan Gelb et al.</b:Corporate>
      </b:Author>
    </b:Author>
    <b:Title>Sovereign Wealth Funds and Long-Term Development Finance Risks and Opportunities</b:Title>
    <b:JournalName>World Bank Working Paper</b:JournalName>
    <b:Year>2014</b:Year>
    <b:RefOrder>2</b:RefOrder>
  </b:Source>
  <b:Source>
    <b:Tag>IMF09</b:Tag>
    <b:SourceType>JournalArticle</b:SourceType>
    <b:Guid>{DD323605-24CA-5B47-94E5-16D7A41604A0}</b:Guid>
    <b:Author>
      <b:Author>
        <b:Corporate>IMF</b:Corporate>
      </b:Author>
    </b:Author>
    <b:Title>Setting up a Sovereign Wealth Fund: Some Policy and Operational Considerations </b:Title>
    <b:JournalName>IMF working paper</b:JournalName>
    <b:Year>2009</b:Year>
    <b:Pages>4-5</b:Pages>
    <b:RefOrder>3</b:RefOrder>
  </b:Source>
  <b:Source>
    <b:Tag>Erm22</b:Tag>
    <b:SourceType>JournalArticle</b:SourceType>
    <b:Guid>{DF8F0575-0A87-A648-9864-BD15B6F320BB}</b:Guid>
    <b:Author>
      <b:Author>
        <b:Corporate>Ermanno Affuso, Khandokar M. Istiak,Alex Sharland</b:Corporate>
      </b:Author>
    </b:Author>
    <b:Title>Sovereign wealth funds and economic growth</b:Title>
    <b:JournalName>journal of Asset Managemnt </b:JournalName>
    <b:Year>2022</b:Year>
    <b:Pages>201</b:Pages>
    <b:RefOrder>4</b:RefOrder>
  </b:Source>
  <b:Source>
    <b:Tag>pwc20</b:Tag>
    <b:SourceType>DocumentFromInternetSite</b:SourceType>
    <b:Guid>{E8FDE9DF-6007-5B47-B8C2-B223209E4A11}</b:Guid>
    <b:Year>2020</b:Year>
    <b:Author>
      <b:Author>
        <b:Corporate>pwc</b:Corporate>
      </b:Author>
    </b:Author>
    <b:InternetSiteTitle>pwc.com</b:InternetSiteTitle>
    <b:URL>https://www.pwc.com/gx/en/sovereign-wealth-investment-funds/publications/assets/sovereign-investors-2020.pdf</b:URL>
    <b:RefOrder>5</b:RefOrder>
  </b:Source>
  <b:Source>
    <b:Tag>Jan21</b:Tag>
    <b:SourceType>ConferenceProceedings</b:SourceType>
    <b:Guid>{FDB78F9F-1ECD-A046-9B58-02A457C59C74}</b:Guid>
    <b:Title>The Importance and Perspectives of Sovereign Wealth Funds on the Globalised Economy</b:Title>
    <b:City>Parubice, Czech Republic</b:City>
    <b:Publisher>EDP Sciences</b:Publisher>
    <b:Year>2021</b:Year>
    <b:Pages>2</b:Pages>
    <b:Author>
      <b:Author>
        <b:NameList>
          <b:Person>
            <b:Last>Jan Cernohosky</b:Last>
            <b:First>Katerina</b:First>
            <b:Middle>Tesnerova</b:Middle>
          </b:Person>
        </b:NameList>
      </b:Author>
    </b:Author>
    <b:ConferenceName>SHS Web of Conferences 92,03006</b:ConferenceName>
    <b:RefOrder>10</b:RefOrder>
  </b:Source>
  <b:Source>
    <b:Tag>Sov21</b:Tag>
    <b:SourceType>InternetSite</b:SourceType>
    <b:Guid>{E1C83143-239A-794A-B5ED-5B82A3FE5101}</b:Guid>
    <b:Title>Soveregn Wealth Fund Institute ( SWFI)</b:Title>
    <b:InternetSiteTitle>swfinstitute.org </b:InternetSiteTitle>
    <b:URL>https://www.swfinstitute.org/news/86134/sovereign-wealth-fund-definition</b:URL>
    <b:Year>2021</b:Year>
    <b:Month>04</b:Month>
    <b:Day>05</b:Day>
    <b:Author>
      <b:Author>
        <b:Corporate>Soveregn Wealth Fund Institute ( SWFI)</b:Corporate>
      </b:Author>
    </b:Author>
    <b:YearAccessed>2024</b:YearAccessed>
    <b:MonthAccessed>01</b:MonthAccessed>
    <b:RefOrder>11</b:RefOrder>
  </b:Source>
  <b:Source>
    <b:Tag>Kuw24</b:Tag>
    <b:SourceType>InternetSite</b:SourceType>
    <b:Guid>{04086ADC-A82F-9049-8FB8-D775A773AB9B}</b:Guid>
    <b:Day>13</b:Day>
    <b:Author>
      <b:Author>
        <b:Corporate>Kuwait Investment Authority</b:Corporate>
      </b:Author>
    </b:Author>
    <b:InternetSiteTitle>kia.gov.kw</b:InternetSiteTitle>
    <b:URL>https://www.kia.gov.kw/about-kia/#maindate</b:URL>
    <b:YearAccessed>2024</b:YearAccessed>
    <b:MonthAccessed>02</b:MonthAccessed>
    <b:Year>2024</b:Year>
    <b:RefOrder>12</b:RefOrder>
  </b:Source>
  <b:Source>
    <b:Tag>UNC23</b:Tag>
    <b:SourceType>Report</b:SourceType>
    <b:Guid>{BA76936D-839D-BA4E-A727-0EC618C702E5}</b:Guid>
    <b:Title>World Investment Report</b:Title>
    <b:Publisher>UNCTAD</b:Publisher>
    <b:Year>2023</b:Year>
    <b:Author>
      <b:Author>
        <b:NameList>
          <b:Person>
            <b:Last>UNCTAD</b:Last>
          </b:Person>
        </b:NameList>
      </b:Author>
    </b:Author>
    <b:RefOrder>13</b:RefOrder>
  </b:Source>
  <b:Source>
    <b:Tag>Wre23</b:Tag>
    <b:SourceType>InternetSite</b:SourceType>
    <b:Guid>{C2BF7509-37E7-E344-848D-F7A82B68C6FB}</b:Guid>
    <b:Author>
      <b:Author>
        <b:Corporate>WrenHouse</b:Corporate>
      </b:Author>
    </b:Author>
    <b:Title>WrenHouse </b:Title>
    <b:URL>https://www.whinfra.com/about/our-history/</b:URL>
    <b:Year>2023</b:Year>
    <b:RefOrder>14</b:RefOrder>
  </b:Source>
  <b:Source>
    <b:Tag>Tam23</b:Tag>
    <b:SourceType>InternetSite</b:SourceType>
    <b:Guid>{41CE7438-1F2C-F64A-92FF-C17B2C4B72FC}</b:Guid>
    <b:URL>https://www.temasekfoundation.org.sg/report2023/Index.html</b:URL>
    <b:Year>2023</b:Year>
    <b:Author>
      <b:Author>
        <b:Corporate>Tamasek Foundation</b:Corporate>
      </b:Author>
    </b:Author>
    <b:RefOrder>15</b:RefOrder>
  </b:Source>
  <b:Source>
    <b:Tag>Ene21</b:Tag>
    <b:SourceType>InternetSite</b:SourceType>
    <b:Guid>{6B2C9848-0E61-E44D-852D-036FC61794B7}</b:Guid>
    <b:Author>
      <b:Author>
        <b:Corporate>Enel Green Power</b:Corporate>
      </b:Author>
    </b:Author>
    <b:URL>https://www.enelgreenpower.com/media/press/2021/01/enel-and-qatar-investment-authority-join-forces-to-develop-renewables-in-sub-saharan-africa</b:URL>
    <b:Year>2021</b:Year>
    <b:Month>01.</b:Month>
    <b:Day>07.</b:Day>
    <b:YearAccessed>2024</b:YearAccessed>
    <b:MonthAccessed>02.</b:MonthAccessed>
    <b:RefOrder>16</b:RefOrder>
  </b:Source>
  <b:Source>
    <b:Tag>MrA12</b:Tag>
    <b:SourceType>Book</b:SourceType>
    <b:Guid>{DD223173-DB8B-A24E-A8B8-5C3CEFEAB865}</b:Guid>
    <b:Title>Beyond the Curse Policies to Harness the Power of Natural Resources</b:Title>
    <b:Publisher>International Monetary Fund</b:Publisher>
    <b:Year>2012</b:Year>
    <b:Pages>288</b:Pages>
    <b:Author>
      <b:Author>
        <b:NameList>
          <b:Person>
            <b:Last>Amadou N Sy</b:Last>
            <b:First>et</b:First>
            <b:Middle>al</b:Middle>
          </b:Person>
        </b:NameList>
      </b:Author>
    </b:Author>
    <b:RefOrder>17</b:RefOrder>
  </b:Source>
  <b:Source>
    <b:Tag>TAZ20</b:Tag>
    <b:SourceType>JournalArticle</b:SourceType>
    <b:Guid>{B515B1E3-83AF-564D-B64C-AFDBAD4694CF}</b:Guid>
    <b:Author>
      <b:Author>
        <b:Corporate>TAZÉ-BERNARD ERIC</b:Corporate>
      </b:Author>
    </b:Author>
    <b:Title>LONG-TERM MANAGEMENT OF AN OIL OR GAS RENT: THE EXAMPLE OF THE NORWEGIAN SOVEREIGN WEALTH FUND</b:Title>
    <b:Year>2020</b:Year>
    <b:Month>02. </b:Month>
    <b:Day>14. </b:Day>
    <b:JournalName>Variances.eu</b:JournalName>
    <b:RefOrder>19</b:RefOrder>
  </b:Source>
</b:Sources>
</file>

<file path=customXml/itemProps1.xml><?xml version="1.0" encoding="utf-8"?>
<ds:datastoreItem xmlns:ds="http://schemas.openxmlformats.org/officeDocument/2006/customXml" ds:itemID="{FA62BB37-DFD1-E449-9D84-CEF282DD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3275</Words>
  <Characters>17526</Characters>
  <Application>Microsoft Office Word</Application>
  <DocSecurity>0</DocSecurity>
  <Lines>389</Lines>
  <Paragraphs>157</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Качепа Шепард</dc:creator>
  <cp:keywords/>
  <dc:description/>
  <cp:lastModifiedBy>Качепа Шепард</cp:lastModifiedBy>
  <cp:revision>1</cp:revision>
  <dcterms:created xsi:type="dcterms:W3CDTF">2026-03-02T20:05:00Z</dcterms:created>
  <dcterms:modified xsi:type="dcterms:W3CDTF">2026-03-02T20:08:00Z</dcterms:modified>
</cp:coreProperties>
</file>