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9AFD" w14:textId="113C6307" w:rsidR="00EC3298" w:rsidRPr="00BA09A5" w:rsidRDefault="00BA09A5" w:rsidP="00BA09A5">
      <w:pPr>
        <w:jc w:val="center"/>
        <w:rPr>
          <w:rFonts w:ascii="Times New Roman" w:hAnsi="Times New Roman" w:cs="Times New Roman"/>
          <w:b/>
          <w:bCs/>
        </w:rPr>
      </w:pPr>
      <w:r w:rsidRPr="00BA09A5">
        <w:rPr>
          <w:rFonts w:ascii="Times New Roman" w:hAnsi="Times New Roman" w:cs="Times New Roman"/>
          <w:b/>
          <w:bCs/>
        </w:rPr>
        <w:t>Управление непрофильными сервисами банковских бизнес-экосистем на российском рынке</w:t>
      </w:r>
    </w:p>
    <w:p w14:paraId="736EF399" w14:textId="243ED3E6" w:rsidR="00BA09A5" w:rsidRPr="00BA09A5" w:rsidRDefault="00BA09A5" w:rsidP="00BA09A5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BA09A5">
        <w:rPr>
          <w:rFonts w:ascii="Times New Roman" w:hAnsi="Times New Roman" w:cs="Times New Roman"/>
          <w:b/>
          <w:bCs/>
          <w:i/>
          <w:iCs/>
        </w:rPr>
        <w:t>Иванов М.О.</w:t>
      </w:r>
    </w:p>
    <w:p w14:paraId="40DB2100" w14:textId="0FDADC3B" w:rsidR="00BA09A5" w:rsidRPr="00BA09A5" w:rsidRDefault="00BA09A5" w:rsidP="00BA09A5">
      <w:pPr>
        <w:jc w:val="center"/>
        <w:rPr>
          <w:rFonts w:ascii="Times New Roman" w:hAnsi="Times New Roman" w:cs="Times New Roman"/>
          <w:i/>
          <w:iCs/>
        </w:rPr>
      </w:pPr>
      <w:r w:rsidRPr="00BA09A5">
        <w:rPr>
          <w:rFonts w:ascii="Times New Roman" w:hAnsi="Times New Roman" w:cs="Times New Roman"/>
          <w:i/>
          <w:iCs/>
        </w:rPr>
        <w:t>Студент</w:t>
      </w:r>
    </w:p>
    <w:p w14:paraId="33EF9ABD" w14:textId="0FB07B97" w:rsidR="00BA09A5" w:rsidRPr="00BA09A5" w:rsidRDefault="00BA09A5" w:rsidP="00BA09A5">
      <w:pPr>
        <w:jc w:val="center"/>
        <w:rPr>
          <w:rFonts w:ascii="Times New Roman" w:hAnsi="Times New Roman" w:cs="Times New Roman"/>
          <w:i/>
          <w:iCs/>
        </w:rPr>
      </w:pPr>
      <w:r w:rsidRPr="00BA09A5">
        <w:rPr>
          <w:rFonts w:ascii="Times New Roman" w:hAnsi="Times New Roman" w:cs="Times New Roman"/>
          <w:i/>
          <w:iCs/>
        </w:rPr>
        <w:t>Московский государственный университет имени М.В. Ломоносова, экономический факультет, Москва, Россия</w:t>
      </w:r>
    </w:p>
    <w:p w14:paraId="381951B0" w14:textId="7EB7D4DD" w:rsidR="00BA09A5" w:rsidRPr="00BA09A5" w:rsidRDefault="00BA09A5" w:rsidP="00BA09A5">
      <w:pPr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E-mail: </w:t>
      </w:r>
      <w:r w:rsidRPr="00BA09A5">
        <w:rPr>
          <w:rFonts w:ascii="Times New Roman" w:hAnsi="Times New Roman" w:cs="Times New Roman"/>
          <w:i/>
          <w:iCs/>
          <w:lang w:val="en-US"/>
        </w:rPr>
        <w:t>Misha.o.ivanov@gmail.com</w:t>
      </w:r>
    </w:p>
    <w:p w14:paraId="28F56B74" w14:textId="77777777" w:rsidR="00BA09A5" w:rsidRDefault="00BA09A5" w:rsidP="00BA09A5">
      <w:pPr>
        <w:ind w:firstLine="284"/>
        <w:jc w:val="both"/>
        <w:rPr>
          <w:rFonts w:ascii="Times New Roman" w:hAnsi="Times New Roman" w:cs="Times New Roman"/>
        </w:rPr>
      </w:pPr>
    </w:p>
    <w:p w14:paraId="59D538EB" w14:textId="6BBC939A" w:rsidR="00BA09A5" w:rsidRDefault="00BA09A5" w:rsidP="00BA09A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Бизнес-экосистемы (далее – экосистемы) представляют из себя современную бизнес-модель </w:t>
      </w:r>
      <w:r w:rsidR="009231D3">
        <w:rPr>
          <w:rFonts w:ascii="Times New Roman" w:hAnsi="Times New Roman" w:cs="Times New Roman"/>
        </w:rPr>
        <w:t xml:space="preserve">функционирования организаций в условиях повышенной неопределенности внешней среды, что требует гибкости и адаптивности. Данный феномен возникает примерно в конце </w:t>
      </w:r>
      <w:r w:rsidR="009231D3">
        <w:rPr>
          <w:rFonts w:ascii="Times New Roman" w:hAnsi="Times New Roman" w:cs="Times New Roman"/>
          <w:lang w:val="en-US"/>
        </w:rPr>
        <w:t>XX</w:t>
      </w:r>
      <w:r w:rsidR="009231D3" w:rsidRPr="009231D3">
        <w:rPr>
          <w:rFonts w:ascii="Times New Roman" w:hAnsi="Times New Roman" w:cs="Times New Roman"/>
        </w:rPr>
        <w:t xml:space="preserve"> </w:t>
      </w:r>
      <w:r w:rsidR="009231D3">
        <w:rPr>
          <w:rFonts w:ascii="Times New Roman" w:hAnsi="Times New Roman" w:cs="Times New Roman"/>
        </w:rPr>
        <w:t xml:space="preserve">века и активно развивается в </w:t>
      </w:r>
      <w:r w:rsidR="009231D3">
        <w:rPr>
          <w:rFonts w:ascii="Times New Roman" w:hAnsi="Times New Roman" w:cs="Times New Roman"/>
          <w:lang w:val="en-US"/>
        </w:rPr>
        <w:t>XXI</w:t>
      </w:r>
      <w:r w:rsidR="009231D3" w:rsidRPr="009231D3">
        <w:rPr>
          <w:rFonts w:ascii="Times New Roman" w:hAnsi="Times New Roman" w:cs="Times New Roman"/>
        </w:rPr>
        <w:t xml:space="preserve"> </w:t>
      </w:r>
      <w:r w:rsidR="009231D3">
        <w:rPr>
          <w:rFonts w:ascii="Times New Roman" w:hAnsi="Times New Roman" w:cs="Times New Roman"/>
        </w:rPr>
        <w:t xml:space="preserve">веке как перспективная модель функционирования на различных отраслевых рынках. Под экосистемой понимается совокупность компаний, создающих общее ценностное предложение, объединяющие ресурсы, разделяющие издержки </w:t>
      </w:r>
      <w:r w:rsidR="009231D3" w:rsidRPr="009231D3">
        <w:rPr>
          <w:rFonts w:ascii="Times New Roman" w:hAnsi="Times New Roman" w:cs="Times New Roman"/>
        </w:rPr>
        <w:t>[</w:t>
      </w:r>
      <w:r w:rsidR="00CC75C6">
        <w:rPr>
          <w:rFonts w:ascii="Times New Roman" w:hAnsi="Times New Roman" w:cs="Times New Roman"/>
        </w:rPr>
        <w:t>3</w:t>
      </w:r>
      <w:r w:rsidR="009231D3" w:rsidRPr="009231D3">
        <w:rPr>
          <w:rFonts w:ascii="Times New Roman" w:hAnsi="Times New Roman" w:cs="Times New Roman"/>
        </w:rPr>
        <w:t>]</w:t>
      </w:r>
      <w:r w:rsidR="009231D3">
        <w:rPr>
          <w:rFonts w:ascii="Times New Roman" w:hAnsi="Times New Roman" w:cs="Times New Roman"/>
        </w:rPr>
        <w:t xml:space="preserve">. </w:t>
      </w:r>
      <w:r w:rsidR="000E03C4">
        <w:rPr>
          <w:rFonts w:ascii="Times New Roman" w:hAnsi="Times New Roman" w:cs="Times New Roman"/>
        </w:rPr>
        <w:t xml:space="preserve">Экосистемы могут как диверсифицировать свою деятельность на различные отраслевые рынки (например, на финансовом рынке или рынке услуг), так и специализироваться только в одной отрасли. </w:t>
      </w:r>
      <w:r w:rsidR="009231D3">
        <w:rPr>
          <w:rFonts w:ascii="Times New Roman" w:hAnsi="Times New Roman" w:cs="Times New Roman"/>
        </w:rPr>
        <w:t>Соответственно, каждая экосистема характеризуется наличием материнской компании (ядра) и компаний-участников (периферии), которые могут быть профильными или непрофильными для экосистемы, в зависимости от того, связаны ли они с отраслью материнской организации.</w:t>
      </w:r>
    </w:p>
    <w:p w14:paraId="52068742" w14:textId="732B3BFF" w:rsidR="002C5A5D" w:rsidRDefault="009231D3" w:rsidP="00BA09A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Цифровые экосистемы представляют из себя наиболее актуальную модель развития бизнеса, такие экосистемы характеризуются наличием технологической платформы, которая принадлежит материнской организации и позволяет предоставлять клиенту комплексное предложение, бесшовный клиентский опыт </w:t>
      </w:r>
      <w:r w:rsidRPr="009231D3">
        <w:rPr>
          <w:rFonts w:ascii="Times New Roman" w:hAnsi="Times New Roman" w:cs="Times New Roman"/>
        </w:rPr>
        <w:t>[</w:t>
      </w:r>
      <w:r w:rsidR="00CC75C6">
        <w:rPr>
          <w:rFonts w:ascii="Times New Roman" w:hAnsi="Times New Roman" w:cs="Times New Roman"/>
        </w:rPr>
        <w:t>2</w:t>
      </w:r>
      <w:r w:rsidRPr="009231D3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</w:t>
      </w:r>
      <w:r w:rsidR="000E03C4">
        <w:rPr>
          <w:rFonts w:ascii="Times New Roman" w:hAnsi="Times New Roman" w:cs="Times New Roman"/>
        </w:rPr>
        <w:t xml:space="preserve">Зарубежные цифровые экосистемы преимущественно выросли на базе технологических компаний или компаний в секторе электронной коммерции – </w:t>
      </w:r>
      <w:r w:rsidR="000E03C4">
        <w:rPr>
          <w:rFonts w:ascii="Times New Roman" w:hAnsi="Times New Roman" w:cs="Times New Roman"/>
          <w:lang w:val="en-US"/>
        </w:rPr>
        <w:t>Apple</w:t>
      </w:r>
      <w:r w:rsidR="000E03C4" w:rsidRPr="000E03C4">
        <w:rPr>
          <w:rFonts w:ascii="Times New Roman" w:hAnsi="Times New Roman" w:cs="Times New Roman"/>
        </w:rPr>
        <w:t xml:space="preserve">, </w:t>
      </w:r>
      <w:r w:rsidR="000E03C4">
        <w:rPr>
          <w:rFonts w:ascii="Times New Roman" w:hAnsi="Times New Roman" w:cs="Times New Roman"/>
          <w:lang w:val="en-US"/>
        </w:rPr>
        <w:t>Samsung</w:t>
      </w:r>
      <w:r w:rsidR="000E03C4" w:rsidRPr="000E03C4">
        <w:rPr>
          <w:rFonts w:ascii="Times New Roman" w:hAnsi="Times New Roman" w:cs="Times New Roman"/>
        </w:rPr>
        <w:t xml:space="preserve">, </w:t>
      </w:r>
      <w:r w:rsidR="000E03C4">
        <w:rPr>
          <w:rFonts w:ascii="Times New Roman" w:hAnsi="Times New Roman" w:cs="Times New Roman"/>
          <w:lang w:val="en-US"/>
        </w:rPr>
        <w:t>Amazon</w:t>
      </w:r>
      <w:r w:rsidR="000E03C4" w:rsidRPr="000E03C4">
        <w:rPr>
          <w:rFonts w:ascii="Times New Roman" w:hAnsi="Times New Roman" w:cs="Times New Roman"/>
        </w:rPr>
        <w:t xml:space="preserve">, </w:t>
      </w:r>
      <w:r w:rsidR="000E03C4">
        <w:rPr>
          <w:rFonts w:ascii="Times New Roman" w:hAnsi="Times New Roman" w:cs="Times New Roman"/>
          <w:lang w:val="en-US"/>
        </w:rPr>
        <w:t>Alibaba</w:t>
      </w:r>
      <w:r w:rsidR="000E03C4">
        <w:rPr>
          <w:rFonts w:ascii="Times New Roman" w:hAnsi="Times New Roman" w:cs="Times New Roman"/>
        </w:rPr>
        <w:t xml:space="preserve"> </w:t>
      </w:r>
      <w:r w:rsidR="000E03C4" w:rsidRPr="000E03C4">
        <w:rPr>
          <w:rFonts w:ascii="Times New Roman" w:hAnsi="Times New Roman" w:cs="Times New Roman"/>
        </w:rPr>
        <w:t>[</w:t>
      </w:r>
      <w:r w:rsidR="00CC75C6">
        <w:rPr>
          <w:rFonts w:ascii="Times New Roman" w:hAnsi="Times New Roman" w:cs="Times New Roman"/>
        </w:rPr>
        <w:t>4</w:t>
      </w:r>
      <w:r w:rsidR="000E03C4" w:rsidRPr="000E03C4">
        <w:rPr>
          <w:rFonts w:ascii="Times New Roman" w:hAnsi="Times New Roman" w:cs="Times New Roman"/>
        </w:rPr>
        <w:t xml:space="preserve">]. </w:t>
      </w:r>
      <w:r w:rsidR="000E03C4">
        <w:rPr>
          <w:rFonts w:ascii="Times New Roman" w:hAnsi="Times New Roman" w:cs="Times New Roman"/>
        </w:rPr>
        <w:t>Однако н</w:t>
      </w:r>
      <w:r>
        <w:rPr>
          <w:rFonts w:ascii="Times New Roman" w:hAnsi="Times New Roman" w:cs="Times New Roman"/>
        </w:rPr>
        <w:t xml:space="preserve">а российском рынке этот вектор развития активно выбирают крупные банковские компании, такие как Сбербанк, Т-банк, ВТБ, </w:t>
      </w:r>
      <w:proofErr w:type="spellStart"/>
      <w:r>
        <w:rPr>
          <w:rFonts w:ascii="Times New Roman" w:hAnsi="Times New Roman" w:cs="Times New Roman"/>
        </w:rPr>
        <w:t>Альфа-банк</w:t>
      </w:r>
      <w:proofErr w:type="spellEnd"/>
      <w:r>
        <w:rPr>
          <w:rFonts w:ascii="Times New Roman" w:hAnsi="Times New Roman" w:cs="Times New Roman"/>
        </w:rPr>
        <w:t>.</w:t>
      </w:r>
      <w:r w:rsidR="000E03C4">
        <w:rPr>
          <w:rFonts w:ascii="Times New Roman" w:hAnsi="Times New Roman" w:cs="Times New Roman"/>
        </w:rPr>
        <w:t xml:space="preserve"> </w:t>
      </w:r>
      <w:r w:rsidR="002C5A5D">
        <w:rPr>
          <w:rFonts w:ascii="Times New Roman" w:hAnsi="Times New Roman" w:cs="Times New Roman"/>
        </w:rPr>
        <w:t xml:space="preserve">Банковские экосистемы – это совокупность сервисов экосистемы, созданной на основе банка, они способны наиболее полно удовлетворять нужды клиента в различных сферах жизни за счет предоставления единого доступа к своей технологической платформе </w:t>
      </w:r>
      <w:r w:rsidR="002C5A5D" w:rsidRPr="002C5A5D">
        <w:rPr>
          <w:rFonts w:ascii="Times New Roman" w:hAnsi="Times New Roman" w:cs="Times New Roman"/>
        </w:rPr>
        <w:t>[</w:t>
      </w:r>
      <w:r w:rsidR="00CC75C6">
        <w:rPr>
          <w:rFonts w:ascii="Times New Roman" w:hAnsi="Times New Roman" w:cs="Times New Roman"/>
        </w:rPr>
        <w:t>1</w:t>
      </w:r>
      <w:r w:rsidR="002C5A5D" w:rsidRPr="002C5A5D">
        <w:rPr>
          <w:rFonts w:ascii="Times New Roman" w:hAnsi="Times New Roman" w:cs="Times New Roman"/>
        </w:rPr>
        <w:t>]</w:t>
      </w:r>
      <w:r w:rsidR="002C5A5D">
        <w:rPr>
          <w:rFonts w:ascii="Times New Roman" w:hAnsi="Times New Roman" w:cs="Times New Roman"/>
        </w:rPr>
        <w:t xml:space="preserve">. </w:t>
      </w:r>
    </w:p>
    <w:p w14:paraId="63D3AEDE" w14:textId="1F0C39F0" w:rsidR="000E03C4" w:rsidRDefault="000E03C4" w:rsidP="002C5A5D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Причем, экосистемы Сбера и Т-банка диверсифицируют свою деятельность в реальном секторе (образование, доставка, фудтех, развлечения), тогда как ВТБ, </w:t>
      </w:r>
      <w:proofErr w:type="spellStart"/>
      <w:r>
        <w:rPr>
          <w:rFonts w:ascii="Times New Roman" w:hAnsi="Times New Roman" w:cs="Times New Roman"/>
        </w:rPr>
        <w:t>Альфа-банк</w:t>
      </w:r>
      <w:proofErr w:type="spellEnd"/>
      <w:r>
        <w:rPr>
          <w:rFonts w:ascii="Times New Roman" w:hAnsi="Times New Roman" w:cs="Times New Roman"/>
        </w:rPr>
        <w:t xml:space="preserve"> специализируются в отрасли финансовых технологий и банковских услугах.</w:t>
      </w:r>
      <w:r w:rsidR="002C5A5D">
        <w:rPr>
          <w:rFonts w:ascii="Times New Roman" w:hAnsi="Times New Roman" w:cs="Times New Roman"/>
        </w:rPr>
        <w:t xml:space="preserve"> </w:t>
      </w:r>
      <w:r w:rsidR="00996A7D">
        <w:rPr>
          <w:rFonts w:ascii="Times New Roman" w:hAnsi="Times New Roman" w:cs="Times New Roman"/>
        </w:rPr>
        <w:t xml:space="preserve">Непрофильными отраслями для банковских экосистем являются сферы, не связанные с финансовым рынком и рынком финансовых технологий. </w:t>
      </w:r>
      <w:r w:rsidR="002C5A5D">
        <w:rPr>
          <w:rFonts w:ascii="Times New Roman" w:hAnsi="Times New Roman" w:cs="Times New Roman"/>
        </w:rPr>
        <w:t>Если рассматривать крупные российские экосистемы, которые развиваются на реальном рынке, то стоит выделить несколько основных направлений непрофильных сервисов (рис</w:t>
      </w:r>
      <w:r w:rsidR="00996A7D">
        <w:rPr>
          <w:rFonts w:ascii="Times New Roman" w:hAnsi="Times New Roman" w:cs="Times New Roman"/>
        </w:rPr>
        <w:t>.</w:t>
      </w:r>
      <w:r w:rsidR="002C5A5D">
        <w:rPr>
          <w:rFonts w:ascii="Times New Roman" w:hAnsi="Times New Roman" w:cs="Times New Roman"/>
        </w:rPr>
        <w:t>).</w:t>
      </w:r>
    </w:p>
    <w:p w14:paraId="59039075" w14:textId="569DFDEB" w:rsidR="002C5A5D" w:rsidRDefault="002C5A5D" w:rsidP="002C5A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6230886" wp14:editId="384A9153">
            <wp:extent cx="5737727" cy="505326"/>
            <wp:effectExtent l="0" t="0" r="15875" b="15875"/>
            <wp:docPr id="8507446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6EEDD311" w14:textId="47B69A6E" w:rsidR="002C5A5D" w:rsidRDefault="002C5A5D" w:rsidP="002C5A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Сферы непрофильных сервисов российских банковских экосистем </w:t>
      </w:r>
      <w:r w:rsidRPr="002C5A5D">
        <w:rPr>
          <w:rFonts w:ascii="Times New Roman" w:hAnsi="Times New Roman" w:cs="Times New Roman"/>
        </w:rPr>
        <w:t>[</w:t>
      </w:r>
      <w:r w:rsidR="00CC75C6">
        <w:rPr>
          <w:rFonts w:ascii="Times New Roman" w:hAnsi="Times New Roman" w:cs="Times New Roman"/>
        </w:rPr>
        <w:t>5</w:t>
      </w:r>
      <w:r w:rsidRPr="002C5A5D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14:paraId="02137330" w14:textId="77777777" w:rsidR="002C5A5D" w:rsidRDefault="002C5A5D" w:rsidP="002C5A5D">
      <w:pPr>
        <w:ind w:firstLine="284"/>
        <w:jc w:val="both"/>
        <w:rPr>
          <w:rFonts w:ascii="Times New Roman" w:hAnsi="Times New Roman" w:cs="Times New Roman"/>
        </w:rPr>
      </w:pPr>
    </w:p>
    <w:p w14:paraId="204D1482" w14:textId="6252D5BF" w:rsidR="009231D3" w:rsidRDefault="00CC75C6" w:rsidP="00996A7D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Материнская компания в экосистеме </w:t>
      </w:r>
      <w:r>
        <w:rPr>
          <w:rFonts w:ascii="Times New Roman" w:hAnsi="Times New Roman" w:cs="Times New Roman"/>
        </w:rPr>
        <w:t xml:space="preserve">ставит целью не только справедливое и эффективное распределение ресурсов между участниками, но и управление развитием всех сервисов для повышения устойчивости системы и преумножения конкурентных преимуществ за счет синергетического эффекта. </w:t>
      </w:r>
      <w:r w:rsidR="002C5A5D">
        <w:rPr>
          <w:rFonts w:ascii="Times New Roman" w:hAnsi="Times New Roman" w:cs="Times New Roman"/>
        </w:rPr>
        <w:t xml:space="preserve">Для управления непрофильными сервисами, банковские экосистемы создают отдельные подразделения (Сбер до 2022 года имел подразделение </w:t>
      </w:r>
      <w:proofErr w:type="spellStart"/>
      <w:r w:rsidR="002C5A5D">
        <w:rPr>
          <w:rFonts w:ascii="Times New Roman" w:hAnsi="Times New Roman" w:cs="Times New Roman"/>
          <w:lang w:val="en-US"/>
        </w:rPr>
        <w:t>SberX</w:t>
      </w:r>
      <w:proofErr w:type="spellEnd"/>
      <w:r w:rsidR="002C5A5D">
        <w:rPr>
          <w:rFonts w:ascii="Times New Roman" w:hAnsi="Times New Roman" w:cs="Times New Roman"/>
        </w:rPr>
        <w:t xml:space="preserve"> для централизованного управления непрофильными активами) или </w:t>
      </w:r>
      <w:r w:rsidR="00996A7D">
        <w:rPr>
          <w:rFonts w:ascii="Times New Roman" w:hAnsi="Times New Roman" w:cs="Times New Roman"/>
        </w:rPr>
        <w:t xml:space="preserve">используют децентрализованную модель, выделяя направления по различным основания (например, </w:t>
      </w:r>
      <w:r w:rsidR="00996A7D">
        <w:rPr>
          <w:rFonts w:ascii="Times New Roman" w:hAnsi="Times New Roman" w:cs="Times New Roman"/>
          <w:lang w:val="en-US"/>
        </w:rPr>
        <w:t>B</w:t>
      </w:r>
      <w:r w:rsidR="00996A7D" w:rsidRPr="00996A7D">
        <w:rPr>
          <w:rFonts w:ascii="Times New Roman" w:hAnsi="Times New Roman" w:cs="Times New Roman"/>
        </w:rPr>
        <w:t>2</w:t>
      </w:r>
      <w:r w:rsidR="00996A7D">
        <w:rPr>
          <w:rFonts w:ascii="Times New Roman" w:hAnsi="Times New Roman" w:cs="Times New Roman"/>
          <w:lang w:val="en-US"/>
        </w:rPr>
        <w:t>B</w:t>
      </w:r>
      <w:r w:rsidR="00996A7D">
        <w:rPr>
          <w:rFonts w:ascii="Times New Roman" w:hAnsi="Times New Roman" w:cs="Times New Roman"/>
        </w:rPr>
        <w:t xml:space="preserve"> и </w:t>
      </w:r>
      <w:r w:rsidR="00996A7D">
        <w:rPr>
          <w:rFonts w:ascii="Times New Roman" w:hAnsi="Times New Roman" w:cs="Times New Roman"/>
          <w:lang w:val="en-US"/>
        </w:rPr>
        <w:t>B</w:t>
      </w:r>
      <w:r w:rsidR="00996A7D" w:rsidRPr="00996A7D">
        <w:rPr>
          <w:rFonts w:ascii="Times New Roman" w:hAnsi="Times New Roman" w:cs="Times New Roman"/>
        </w:rPr>
        <w:t>2</w:t>
      </w:r>
      <w:r w:rsidR="00996A7D">
        <w:rPr>
          <w:rFonts w:ascii="Times New Roman" w:hAnsi="Times New Roman" w:cs="Times New Roman"/>
          <w:lang w:val="en-US"/>
        </w:rPr>
        <w:t>C</w:t>
      </w:r>
      <w:r w:rsidR="00996A7D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Так как крупные банковские организации обладают определенным уровнем узнаваемости среди потенциальных клиентов экосистемы</w:t>
      </w:r>
      <w:r w:rsidR="004F1118">
        <w:rPr>
          <w:rFonts w:ascii="Times New Roman" w:hAnsi="Times New Roman" w:cs="Times New Roman"/>
        </w:rPr>
        <w:t xml:space="preserve">, они </w:t>
      </w:r>
      <w:r w:rsidR="004F1118">
        <w:rPr>
          <w:rFonts w:ascii="Times New Roman" w:hAnsi="Times New Roman" w:cs="Times New Roman"/>
        </w:rPr>
        <w:lastRenderedPageBreak/>
        <w:t xml:space="preserve">стремятся передать это доверие непрофильным сервисам. Это необходимо не только для повышения их узнаваемости в отрасли, но и для вовлечения клиентов этих сервисов в транзакционную активность внутри материнской компании (банка). Иначе говоря, эффективное управление непрофильными сервисами обеспечивает трансформацию потребителей реального сектора в активных пользователей банковских услуг, тогда как банки способны производить трансфер репутации на периферию экосистемы через различные инструменты. Одним из таких инструментов </w:t>
      </w:r>
      <w:r w:rsidR="002C1DA6">
        <w:rPr>
          <w:rFonts w:ascii="Times New Roman" w:hAnsi="Times New Roman" w:cs="Times New Roman"/>
        </w:rPr>
        <w:t xml:space="preserve">управления </w:t>
      </w:r>
      <w:r w:rsidR="004F1118">
        <w:rPr>
          <w:rFonts w:ascii="Times New Roman" w:hAnsi="Times New Roman" w:cs="Times New Roman"/>
        </w:rPr>
        <w:t xml:space="preserve">являются </w:t>
      </w:r>
      <w:proofErr w:type="spellStart"/>
      <w:r w:rsidR="004F1118">
        <w:rPr>
          <w:rFonts w:ascii="Times New Roman" w:hAnsi="Times New Roman" w:cs="Times New Roman"/>
        </w:rPr>
        <w:t>суперприложения</w:t>
      </w:r>
      <w:proofErr w:type="spellEnd"/>
      <w:r w:rsidR="004F1118">
        <w:rPr>
          <w:rFonts w:ascii="Times New Roman" w:hAnsi="Times New Roman" w:cs="Times New Roman"/>
        </w:rPr>
        <w:t>, которые позволяют сочетать в одном приложении несколько видов услуг от различных сервисов компании. Примерами так</w:t>
      </w:r>
      <w:r w:rsidR="002C1DA6">
        <w:rPr>
          <w:rFonts w:ascii="Times New Roman" w:hAnsi="Times New Roman" w:cs="Times New Roman"/>
        </w:rPr>
        <w:t>их</w:t>
      </w:r>
      <w:r w:rsidR="004F1118">
        <w:rPr>
          <w:rFonts w:ascii="Times New Roman" w:hAnsi="Times New Roman" w:cs="Times New Roman"/>
        </w:rPr>
        <w:t xml:space="preserve"> </w:t>
      </w:r>
      <w:proofErr w:type="spellStart"/>
      <w:r w:rsidR="004F1118">
        <w:rPr>
          <w:rFonts w:ascii="Times New Roman" w:hAnsi="Times New Roman" w:cs="Times New Roman"/>
        </w:rPr>
        <w:t>суперприложени</w:t>
      </w:r>
      <w:r w:rsidR="002C1DA6">
        <w:rPr>
          <w:rFonts w:ascii="Times New Roman" w:hAnsi="Times New Roman" w:cs="Times New Roman"/>
        </w:rPr>
        <w:t>й</w:t>
      </w:r>
      <w:proofErr w:type="spellEnd"/>
      <w:r w:rsidR="004F1118">
        <w:rPr>
          <w:rFonts w:ascii="Times New Roman" w:hAnsi="Times New Roman" w:cs="Times New Roman"/>
        </w:rPr>
        <w:t xml:space="preserve"> на российском рынке экосистем являются Яндекс.</w:t>
      </w:r>
      <w:r w:rsidR="004F1118">
        <w:rPr>
          <w:rFonts w:ascii="Times New Roman" w:hAnsi="Times New Roman" w:cs="Times New Roman"/>
          <w:lang w:val="en-US"/>
        </w:rPr>
        <w:t>GO</w:t>
      </w:r>
      <w:r w:rsidR="004F1118" w:rsidRPr="004F1118">
        <w:rPr>
          <w:rFonts w:ascii="Times New Roman" w:hAnsi="Times New Roman" w:cs="Times New Roman"/>
        </w:rPr>
        <w:t xml:space="preserve"> о</w:t>
      </w:r>
      <w:r w:rsidR="004F1118">
        <w:rPr>
          <w:rFonts w:ascii="Times New Roman" w:hAnsi="Times New Roman" w:cs="Times New Roman"/>
        </w:rPr>
        <w:t>т Яндекса и раздел «Город» от Т-банка.</w:t>
      </w:r>
      <w:r w:rsidR="002C1DA6">
        <w:rPr>
          <w:rFonts w:ascii="Times New Roman" w:hAnsi="Times New Roman" w:cs="Times New Roman"/>
        </w:rPr>
        <w:t xml:space="preserve"> </w:t>
      </w:r>
      <w:proofErr w:type="spellStart"/>
      <w:r w:rsidR="002C1DA6">
        <w:rPr>
          <w:rFonts w:ascii="Times New Roman" w:hAnsi="Times New Roman" w:cs="Times New Roman"/>
        </w:rPr>
        <w:t>Суперприложения</w:t>
      </w:r>
      <w:proofErr w:type="spellEnd"/>
      <w:r w:rsidR="002C1DA6">
        <w:rPr>
          <w:rFonts w:ascii="Times New Roman" w:hAnsi="Times New Roman" w:cs="Times New Roman"/>
        </w:rPr>
        <w:t xml:space="preserve"> также есть у банковских экосистем, которые специализируются на финансовых технологиях – ВТБ, </w:t>
      </w:r>
      <w:proofErr w:type="spellStart"/>
      <w:r w:rsidR="002C1DA6">
        <w:rPr>
          <w:rFonts w:ascii="Times New Roman" w:hAnsi="Times New Roman" w:cs="Times New Roman"/>
        </w:rPr>
        <w:t>Альфа-банка</w:t>
      </w:r>
      <w:proofErr w:type="spellEnd"/>
      <w:r w:rsidR="002C1DA6">
        <w:rPr>
          <w:rFonts w:ascii="Times New Roman" w:hAnsi="Times New Roman" w:cs="Times New Roman"/>
        </w:rPr>
        <w:t xml:space="preserve"> – они позволяют получать комплекс финансовых услуг.</w:t>
      </w:r>
    </w:p>
    <w:p w14:paraId="5A941090" w14:textId="719AB5DB" w:rsidR="002C1DA6" w:rsidRPr="004F1118" w:rsidRDefault="002C1DA6" w:rsidP="00996A7D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спецификой цифровых экосистем на российском рынке является активное их образование на базе банковских организаций в качестве ядра. Банковские экосистемы характеризуются наличием узнаваемого среди пользователей ядра, которое может передавать это доверие других сервисам в экосистеме и получать выгоду от производимого экосистемного продукта (приобретение услуги стимулирует использовать финансовые сервисы банка). </w:t>
      </w:r>
      <w:r w:rsidR="004F497D">
        <w:rPr>
          <w:rFonts w:ascii="Times New Roman" w:hAnsi="Times New Roman" w:cs="Times New Roman"/>
        </w:rPr>
        <w:t xml:space="preserve">Управление сервисами экосистемы может носить централизованный и децентрализованный характер. </w:t>
      </w:r>
      <w:r>
        <w:rPr>
          <w:rFonts w:ascii="Times New Roman" w:hAnsi="Times New Roman" w:cs="Times New Roman"/>
        </w:rPr>
        <w:t xml:space="preserve">Управление такими сервисами направлено на вовлечение их клиентов в транзакционную активность материнского банка и эффективное распределение ресурсов между участниками, чтобы все направления экосистемы развивались равномерно, улучшали свои конкурентные преимущества за счет синергетического эффекта. Одним из перспективных </w:t>
      </w:r>
      <w:r w:rsidR="004F497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 используемых на российском рынке цифровых экосистем</w:t>
      </w:r>
      <w:r w:rsidR="004F497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инструментов управления непрофильными сервисами является создание</w:t>
      </w:r>
      <w:r w:rsidR="004F497D">
        <w:rPr>
          <w:rFonts w:ascii="Times New Roman" w:hAnsi="Times New Roman" w:cs="Times New Roman"/>
        </w:rPr>
        <w:t xml:space="preserve"> </w:t>
      </w:r>
      <w:proofErr w:type="spellStart"/>
      <w:r w:rsidR="004F497D">
        <w:rPr>
          <w:rFonts w:ascii="Times New Roman" w:hAnsi="Times New Roman" w:cs="Times New Roman"/>
        </w:rPr>
        <w:t>суперприложений</w:t>
      </w:r>
      <w:proofErr w:type="spellEnd"/>
      <w:r>
        <w:rPr>
          <w:rFonts w:ascii="Times New Roman" w:hAnsi="Times New Roman" w:cs="Times New Roman"/>
        </w:rPr>
        <w:t>.</w:t>
      </w:r>
    </w:p>
    <w:p w14:paraId="6FE9330C" w14:textId="0882A0F1" w:rsidR="009231D3" w:rsidRPr="009231D3" w:rsidRDefault="009231D3" w:rsidP="009231D3">
      <w:pPr>
        <w:jc w:val="center"/>
        <w:rPr>
          <w:rFonts w:ascii="Times New Roman" w:hAnsi="Times New Roman" w:cs="Times New Roman"/>
          <w:b/>
          <w:bCs/>
        </w:rPr>
      </w:pPr>
      <w:r w:rsidRPr="009231D3">
        <w:rPr>
          <w:rFonts w:ascii="Times New Roman" w:hAnsi="Times New Roman" w:cs="Times New Roman"/>
          <w:b/>
          <w:bCs/>
        </w:rPr>
        <w:t>Литература</w:t>
      </w:r>
    </w:p>
    <w:p w14:paraId="673FB5FC" w14:textId="77777777" w:rsidR="00CC75C6" w:rsidRDefault="00CC75C6" w:rsidP="009231D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C5A5D">
        <w:rPr>
          <w:rFonts w:ascii="Times New Roman" w:hAnsi="Times New Roman" w:cs="Times New Roman"/>
        </w:rPr>
        <w:t>Быканова</w:t>
      </w:r>
      <w:proofErr w:type="spellEnd"/>
      <w:r w:rsidRPr="002C5A5D">
        <w:rPr>
          <w:rFonts w:ascii="Times New Roman" w:hAnsi="Times New Roman" w:cs="Times New Roman"/>
        </w:rPr>
        <w:t xml:space="preserve"> Н. И. и др. Формирование экосистем банков в условиях цифровизации банковского пространства //Экономика. Информатика. – 2020. – Т. 47. – №. 1. – С. 91-100.</w:t>
      </w:r>
    </w:p>
    <w:p w14:paraId="12356788" w14:textId="77777777" w:rsidR="00CC75C6" w:rsidRPr="009231D3" w:rsidRDefault="00CC75C6" w:rsidP="009231D3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9231D3">
        <w:rPr>
          <w:rFonts w:ascii="Times New Roman" w:hAnsi="Times New Roman" w:cs="Times New Roman"/>
        </w:rPr>
        <w:t>Макаров В. В., Шишкова А. С. Современные экосистемы как результат эволюции концепции экосистем и цифровой трансформации экономики //Экономика и качество систем связи. 2025. Т. 4. №. 38. С. 4-17.</w:t>
      </w:r>
    </w:p>
    <w:p w14:paraId="25D17DDC" w14:textId="77777777" w:rsidR="00CC75C6" w:rsidRPr="009231D3" w:rsidRDefault="00CC75C6" w:rsidP="009231D3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9231D3">
        <w:rPr>
          <w:rFonts w:ascii="Times New Roman" w:hAnsi="Times New Roman" w:cs="Times New Roman"/>
        </w:rPr>
        <w:t>Ратушняк Е. С., Шаповалов В. В. Концепция экосистемы в экономике и управлении: систематический обзор //Российский внешнеэкономический вестник. 2025. №. 3. С. 49-65.</w:t>
      </w:r>
    </w:p>
    <w:p w14:paraId="70D63643" w14:textId="77777777" w:rsidR="00CC75C6" w:rsidRPr="00CC75C6" w:rsidRDefault="00CC75C6" w:rsidP="000E03C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0E03C4">
        <w:rPr>
          <w:rFonts w:ascii="Times New Roman" w:hAnsi="Times New Roman" w:cs="Times New Roman"/>
          <w:lang w:val="en-US"/>
        </w:rPr>
        <w:t>Kolomiyets G., Korol V., Bil</w:t>
      </w:r>
      <w:r w:rsidRPr="000E03C4">
        <w:rPr>
          <w:rFonts w:ascii="Times New Roman" w:hAnsi="Times New Roman" w:cs="Times New Roman"/>
        </w:rPr>
        <w:t>і</w:t>
      </w:r>
      <w:proofErr w:type="spellStart"/>
      <w:r w:rsidRPr="000E03C4">
        <w:rPr>
          <w:rFonts w:ascii="Times New Roman" w:hAnsi="Times New Roman" w:cs="Times New Roman"/>
          <w:lang w:val="en-US"/>
        </w:rPr>
        <w:t>anskiy</w:t>
      </w:r>
      <w:proofErr w:type="spellEnd"/>
      <w:r w:rsidRPr="000E03C4">
        <w:rPr>
          <w:rFonts w:ascii="Times New Roman" w:hAnsi="Times New Roman" w:cs="Times New Roman"/>
          <w:lang w:val="en-US"/>
        </w:rPr>
        <w:t xml:space="preserve"> D. Digital ecosystems as a driver of business landscape transformation in the modern economy //Baltic Journal of Economic Studies.</w:t>
      </w:r>
      <w:r>
        <w:rPr>
          <w:rFonts w:ascii="Times New Roman" w:hAnsi="Times New Roman" w:cs="Times New Roman"/>
          <w:lang w:val="en-US"/>
        </w:rPr>
        <w:t xml:space="preserve"> </w:t>
      </w:r>
      <w:r w:rsidRPr="000E03C4">
        <w:rPr>
          <w:rFonts w:ascii="Times New Roman" w:hAnsi="Times New Roman" w:cs="Times New Roman"/>
          <w:lang w:val="en-US"/>
        </w:rPr>
        <w:t xml:space="preserve">2025. </w:t>
      </w:r>
      <w:r w:rsidRPr="000E03C4">
        <w:rPr>
          <w:rFonts w:ascii="Times New Roman" w:hAnsi="Times New Roman" w:cs="Times New Roman"/>
        </w:rPr>
        <w:t>Т</w:t>
      </w:r>
      <w:r w:rsidRPr="000E03C4">
        <w:rPr>
          <w:rFonts w:ascii="Times New Roman" w:hAnsi="Times New Roman" w:cs="Times New Roman"/>
          <w:lang w:val="en-US"/>
        </w:rPr>
        <w:t xml:space="preserve">. 11. №. </w:t>
      </w:r>
      <w:r w:rsidRPr="00CC75C6">
        <w:rPr>
          <w:rFonts w:ascii="Times New Roman" w:hAnsi="Times New Roman" w:cs="Times New Roman"/>
          <w:lang w:val="en-US"/>
        </w:rPr>
        <w:t xml:space="preserve">1. </w:t>
      </w:r>
      <w:r w:rsidRPr="000E03C4">
        <w:rPr>
          <w:rFonts w:ascii="Times New Roman" w:hAnsi="Times New Roman" w:cs="Times New Roman"/>
        </w:rPr>
        <w:t>С</w:t>
      </w:r>
      <w:r w:rsidRPr="00CC75C6">
        <w:rPr>
          <w:rFonts w:ascii="Times New Roman" w:hAnsi="Times New Roman" w:cs="Times New Roman"/>
          <w:lang w:val="en-US"/>
        </w:rPr>
        <w:t>. 115-120.</w:t>
      </w:r>
    </w:p>
    <w:p w14:paraId="57CC5065" w14:textId="3A4D8370" w:rsidR="002C5A5D" w:rsidRPr="002C5A5D" w:rsidRDefault="002D4DEA" w:rsidP="002C5A5D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Spektr</w:t>
      </w:r>
      <w:proofErr w:type="spellEnd"/>
      <w:r w:rsidRPr="002D4DE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–</w:t>
      </w:r>
      <w:r w:rsidRPr="002D4DEA">
        <w:rPr>
          <w:rFonts w:ascii="Times New Roman" w:hAnsi="Times New Roman" w:cs="Times New Roman"/>
          <w:lang w:val="en-US"/>
        </w:rPr>
        <w:t xml:space="preserve"> </w:t>
      </w:r>
      <w:r w:rsidR="002C5A5D" w:rsidRPr="002C5A5D">
        <w:rPr>
          <w:rFonts w:ascii="Times New Roman" w:hAnsi="Times New Roman" w:cs="Times New Roman"/>
          <w:lang w:val="en-US"/>
        </w:rPr>
        <w:t>https://spektr.team/tpost/g8cbrog5l1-issledovanie-krupneishie-rossiiskie-tsif</w:t>
      </w:r>
    </w:p>
    <w:sectPr w:rsidR="002C5A5D" w:rsidRPr="002C5A5D" w:rsidSect="00BA09A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B7BF5"/>
    <w:multiLevelType w:val="hybridMultilevel"/>
    <w:tmpl w:val="4D36A39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373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A5"/>
    <w:rsid w:val="000E03C4"/>
    <w:rsid w:val="002C1DA6"/>
    <w:rsid w:val="002C5A5D"/>
    <w:rsid w:val="002D4DEA"/>
    <w:rsid w:val="004E21DD"/>
    <w:rsid w:val="004F1118"/>
    <w:rsid w:val="004F497D"/>
    <w:rsid w:val="0072454F"/>
    <w:rsid w:val="009231D3"/>
    <w:rsid w:val="00996A7D"/>
    <w:rsid w:val="00A30C19"/>
    <w:rsid w:val="00BA09A5"/>
    <w:rsid w:val="00CC75C6"/>
    <w:rsid w:val="00EC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485D71"/>
  <w15:chartTrackingRefBased/>
  <w15:docId w15:val="{B1A65BDA-A225-9240-B1E0-A3E899CB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9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9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9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9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9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9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9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9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9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9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9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9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9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9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0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9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0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9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09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09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09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09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09A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A09A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A0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04C749-6A0D-2C47-9F1F-27350C3A7E56}" type="doc">
      <dgm:prSet loTypeId="urn:microsoft.com/office/officeart/2005/8/layout/hChevron3" loCatId="" qsTypeId="urn:microsoft.com/office/officeart/2005/8/quickstyle/simple1" qsCatId="simple" csTypeId="urn:microsoft.com/office/officeart/2005/8/colors/accent0_1" csCatId="mainScheme" phldr="1"/>
      <dgm:spPr/>
    </dgm:pt>
    <dgm:pt modelId="{0244BC69-976B-4B46-96F3-96CAD1923C80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Покупки и доставка</a:t>
          </a:r>
        </a:p>
      </dgm:t>
    </dgm:pt>
    <dgm:pt modelId="{1C3D09CA-DFA0-0E4E-9B7E-A9B413AA1AB1}" type="parTrans" cxnId="{B991A45B-E285-8B42-8244-1C738CEEAC40}">
      <dgm:prSet/>
      <dgm:spPr/>
      <dgm:t>
        <a:bodyPr/>
        <a:lstStyle/>
        <a:p>
          <a:endParaRPr lang="ru-RU"/>
        </a:p>
      </dgm:t>
    </dgm:pt>
    <dgm:pt modelId="{DFF12C3A-0D9D-034B-BBFA-92283AE079FE}" type="sibTrans" cxnId="{B991A45B-E285-8B42-8244-1C738CEEAC40}">
      <dgm:prSet/>
      <dgm:spPr/>
      <dgm:t>
        <a:bodyPr/>
        <a:lstStyle/>
        <a:p>
          <a:endParaRPr lang="ru-RU"/>
        </a:p>
      </dgm:t>
    </dgm:pt>
    <dgm:pt modelId="{0AAC09B2-327B-5A4E-9E87-43FE972DD2FB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Образование, поиск работы</a:t>
          </a:r>
        </a:p>
      </dgm:t>
    </dgm:pt>
    <dgm:pt modelId="{DFE8638C-67C0-2549-A472-7E00D9C52880}" type="parTrans" cxnId="{2314464E-F06C-E14E-909B-88096D28CC86}">
      <dgm:prSet/>
      <dgm:spPr/>
      <dgm:t>
        <a:bodyPr/>
        <a:lstStyle/>
        <a:p>
          <a:endParaRPr lang="ru-RU"/>
        </a:p>
      </dgm:t>
    </dgm:pt>
    <dgm:pt modelId="{F7BC4AC7-C4A8-7542-B19D-125C59F0758C}" type="sibTrans" cxnId="{2314464E-F06C-E14E-909B-88096D28CC86}">
      <dgm:prSet/>
      <dgm:spPr/>
      <dgm:t>
        <a:bodyPr/>
        <a:lstStyle/>
        <a:p>
          <a:endParaRPr lang="ru-RU"/>
        </a:p>
      </dgm:t>
    </dgm:pt>
    <dgm:pt modelId="{7C14581F-8CE8-4241-B1D6-1D9FF5772ACF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Развлечения</a:t>
          </a:r>
        </a:p>
      </dgm:t>
    </dgm:pt>
    <dgm:pt modelId="{FF16CA30-645E-F54B-A0AE-4273354B943E}" type="parTrans" cxnId="{7BC96AEB-6734-5948-9353-48F0132B4F77}">
      <dgm:prSet/>
      <dgm:spPr/>
      <dgm:t>
        <a:bodyPr/>
        <a:lstStyle/>
        <a:p>
          <a:endParaRPr lang="ru-RU"/>
        </a:p>
      </dgm:t>
    </dgm:pt>
    <dgm:pt modelId="{31F582FD-2FBD-A748-9B64-D87047C5AF68}" type="sibTrans" cxnId="{7BC96AEB-6734-5948-9353-48F0132B4F77}">
      <dgm:prSet/>
      <dgm:spPr/>
      <dgm:t>
        <a:bodyPr/>
        <a:lstStyle/>
        <a:p>
          <a:endParaRPr lang="ru-RU"/>
        </a:p>
      </dgm:t>
    </dgm:pt>
    <dgm:pt modelId="{D3E80682-F6DF-2444-B13F-1A0381C22459}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Фудтех и </a:t>
          </a:r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e-grocery</a:t>
          </a:r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C7743BB-68DF-934E-B3FC-BDEFFA4BEF8A}" type="parTrans" cxnId="{3E2A1CB2-D70D-8149-9DB4-D209C282BCEB}">
      <dgm:prSet/>
      <dgm:spPr/>
      <dgm:t>
        <a:bodyPr/>
        <a:lstStyle/>
        <a:p>
          <a:endParaRPr lang="ru-RU"/>
        </a:p>
      </dgm:t>
    </dgm:pt>
    <dgm:pt modelId="{22A803CE-B9BB-FF49-8865-9F16FD5AED83}" type="sibTrans" cxnId="{3E2A1CB2-D70D-8149-9DB4-D209C282BCEB}">
      <dgm:prSet/>
      <dgm:spPr/>
      <dgm:t>
        <a:bodyPr/>
        <a:lstStyle/>
        <a:p>
          <a:endParaRPr lang="ru-RU"/>
        </a:p>
      </dgm:t>
    </dgm:pt>
    <dgm:pt modelId="{C92904A8-991E-F545-990A-BC8E1D126A04}" type="pres">
      <dgm:prSet presAssocID="{5604C749-6A0D-2C47-9F1F-27350C3A7E56}" presName="Name0" presStyleCnt="0">
        <dgm:presLayoutVars>
          <dgm:dir/>
          <dgm:resizeHandles val="exact"/>
        </dgm:presLayoutVars>
      </dgm:prSet>
      <dgm:spPr/>
    </dgm:pt>
    <dgm:pt modelId="{D69C5326-D454-3942-9559-C561600FD087}" type="pres">
      <dgm:prSet presAssocID="{0244BC69-976B-4B46-96F3-96CAD1923C80}" presName="parTxOnly" presStyleLbl="node1" presStyleIdx="0" presStyleCnt="4">
        <dgm:presLayoutVars>
          <dgm:bulletEnabled val="1"/>
        </dgm:presLayoutVars>
      </dgm:prSet>
      <dgm:spPr/>
    </dgm:pt>
    <dgm:pt modelId="{8435FFC7-9A97-D741-BCEB-DC6B41B4FD56}" type="pres">
      <dgm:prSet presAssocID="{DFF12C3A-0D9D-034B-BBFA-92283AE079FE}" presName="parSpace" presStyleCnt="0"/>
      <dgm:spPr/>
    </dgm:pt>
    <dgm:pt modelId="{122AD093-626F-6A47-AD0C-E99AE39DAB1B}" type="pres">
      <dgm:prSet presAssocID="{D3E80682-F6DF-2444-B13F-1A0381C22459}" presName="parTxOnly" presStyleLbl="node1" presStyleIdx="1" presStyleCnt="4">
        <dgm:presLayoutVars>
          <dgm:bulletEnabled val="1"/>
        </dgm:presLayoutVars>
      </dgm:prSet>
      <dgm:spPr/>
    </dgm:pt>
    <dgm:pt modelId="{B55525AA-68E1-DD4D-8039-A4F7B113CAA8}" type="pres">
      <dgm:prSet presAssocID="{22A803CE-B9BB-FF49-8865-9F16FD5AED83}" presName="parSpace" presStyleCnt="0"/>
      <dgm:spPr/>
    </dgm:pt>
    <dgm:pt modelId="{6D91626C-093E-C640-80E7-A8B9FC99685D}" type="pres">
      <dgm:prSet presAssocID="{0AAC09B2-327B-5A4E-9E87-43FE972DD2FB}" presName="parTxOnly" presStyleLbl="node1" presStyleIdx="2" presStyleCnt="4">
        <dgm:presLayoutVars>
          <dgm:bulletEnabled val="1"/>
        </dgm:presLayoutVars>
      </dgm:prSet>
      <dgm:spPr/>
    </dgm:pt>
    <dgm:pt modelId="{3A6220D4-BCEC-E442-BBEB-AC2C9F8DDF5E}" type="pres">
      <dgm:prSet presAssocID="{F7BC4AC7-C4A8-7542-B19D-125C59F0758C}" presName="parSpace" presStyleCnt="0"/>
      <dgm:spPr/>
    </dgm:pt>
    <dgm:pt modelId="{C68D6603-3963-984C-AEA0-1A1CC408FD7F}" type="pres">
      <dgm:prSet presAssocID="{7C14581F-8CE8-4241-B1D6-1D9FF5772ACF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97B9EB0B-6346-7247-9946-1017B7CBE394}" type="presOf" srcId="{0244BC69-976B-4B46-96F3-96CAD1923C80}" destId="{D69C5326-D454-3942-9559-C561600FD087}" srcOrd="0" destOrd="0" presId="urn:microsoft.com/office/officeart/2005/8/layout/hChevron3"/>
    <dgm:cxn modelId="{3E4A7F4C-969F-E540-A00C-08F411A85030}" type="presOf" srcId="{5604C749-6A0D-2C47-9F1F-27350C3A7E56}" destId="{C92904A8-991E-F545-990A-BC8E1D126A04}" srcOrd="0" destOrd="0" presId="urn:microsoft.com/office/officeart/2005/8/layout/hChevron3"/>
    <dgm:cxn modelId="{2314464E-F06C-E14E-909B-88096D28CC86}" srcId="{5604C749-6A0D-2C47-9F1F-27350C3A7E56}" destId="{0AAC09B2-327B-5A4E-9E87-43FE972DD2FB}" srcOrd="2" destOrd="0" parTransId="{DFE8638C-67C0-2549-A472-7E00D9C52880}" sibTransId="{F7BC4AC7-C4A8-7542-B19D-125C59F0758C}"/>
    <dgm:cxn modelId="{B991A45B-E285-8B42-8244-1C738CEEAC40}" srcId="{5604C749-6A0D-2C47-9F1F-27350C3A7E56}" destId="{0244BC69-976B-4B46-96F3-96CAD1923C80}" srcOrd="0" destOrd="0" parTransId="{1C3D09CA-DFA0-0E4E-9B7E-A9B413AA1AB1}" sibTransId="{DFF12C3A-0D9D-034B-BBFA-92283AE079FE}"/>
    <dgm:cxn modelId="{25E78273-6B9E-0141-8374-B4F02A7A101D}" type="presOf" srcId="{7C14581F-8CE8-4241-B1D6-1D9FF5772ACF}" destId="{C68D6603-3963-984C-AEA0-1A1CC408FD7F}" srcOrd="0" destOrd="0" presId="urn:microsoft.com/office/officeart/2005/8/layout/hChevron3"/>
    <dgm:cxn modelId="{D532F195-6883-AB4B-8438-6F2BAC81E66B}" type="presOf" srcId="{D3E80682-F6DF-2444-B13F-1A0381C22459}" destId="{122AD093-626F-6A47-AD0C-E99AE39DAB1B}" srcOrd="0" destOrd="0" presId="urn:microsoft.com/office/officeart/2005/8/layout/hChevron3"/>
    <dgm:cxn modelId="{3E2A1CB2-D70D-8149-9DB4-D209C282BCEB}" srcId="{5604C749-6A0D-2C47-9F1F-27350C3A7E56}" destId="{D3E80682-F6DF-2444-B13F-1A0381C22459}" srcOrd="1" destOrd="0" parTransId="{8C7743BB-68DF-934E-B3FC-BDEFFA4BEF8A}" sibTransId="{22A803CE-B9BB-FF49-8865-9F16FD5AED83}"/>
    <dgm:cxn modelId="{4F66E3E3-8440-A847-996D-2C7355F6D415}" type="presOf" srcId="{0AAC09B2-327B-5A4E-9E87-43FE972DD2FB}" destId="{6D91626C-093E-C640-80E7-A8B9FC99685D}" srcOrd="0" destOrd="0" presId="urn:microsoft.com/office/officeart/2005/8/layout/hChevron3"/>
    <dgm:cxn modelId="{7BC96AEB-6734-5948-9353-48F0132B4F77}" srcId="{5604C749-6A0D-2C47-9F1F-27350C3A7E56}" destId="{7C14581F-8CE8-4241-B1D6-1D9FF5772ACF}" srcOrd="3" destOrd="0" parTransId="{FF16CA30-645E-F54B-A0AE-4273354B943E}" sibTransId="{31F582FD-2FBD-A748-9B64-D87047C5AF68}"/>
    <dgm:cxn modelId="{70E0DC62-409E-B34C-A84B-4B3AE67C7037}" type="presParOf" srcId="{C92904A8-991E-F545-990A-BC8E1D126A04}" destId="{D69C5326-D454-3942-9559-C561600FD087}" srcOrd="0" destOrd="0" presId="urn:microsoft.com/office/officeart/2005/8/layout/hChevron3"/>
    <dgm:cxn modelId="{3C693D47-2A0B-984E-85D7-C8510E0290F6}" type="presParOf" srcId="{C92904A8-991E-F545-990A-BC8E1D126A04}" destId="{8435FFC7-9A97-D741-BCEB-DC6B41B4FD56}" srcOrd="1" destOrd="0" presId="urn:microsoft.com/office/officeart/2005/8/layout/hChevron3"/>
    <dgm:cxn modelId="{2C6F66F4-87AC-DC44-9283-6C094805CF64}" type="presParOf" srcId="{C92904A8-991E-F545-990A-BC8E1D126A04}" destId="{122AD093-626F-6A47-AD0C-E99AE39DAB1B}" srcOrd="2" destOrd="0" presId="urn:microsoft.com/office/officeart/2005/8/layout/hChevron3"/>
    <dgm:cxn modelId="{140A904B-7A40-EF4C-8371-1EB20EEE20B6}" type="presParOf" srcId="{C92904A8-991E-F545-990A-BC8E1D126A04}" destId="{B55525AA-68E1-DD4D-8039-A4F7B113CAA8}" srcOrd="3" destOrd="0" presId="urn:microsoft.com/office/officeart/2005/8/layout/hChevron3"/>
    <dgm:cxn modelId="{0E7C84E8-57AE-0549-87B2-6F874BE09AC7}" type="presParOf" srcId="{C92904A8-991E-F545-990A-BC8E1D126A04}" destId="{6D91626C-093E-C640-80E7-A8B9FC99685D}" srcOrd="4" destOrd="0" presId="urn:microsoft.com/office/officeart/2005/8/layout/hChevron3"/>
    <dgm:cxn modelId="{160FDC91-BA34-6349-B43E-F5A9554ACAA8}" type="presParOf" srcId="{C92904A8-991E-F545-990A-BC8E1D126A04}" destId="{3A6220D4-BCEC-E442-BBEB-AC2C9F8DDF5E}" srcOrd="5" destOrd="0" presId="urn:microsoft.com/office/officeart/2005/8/layout/hChevron3"/>
    <dgm:cxn modelId="{0059DCC6-B4AD-F242-9A29-3CF6CD5497FE}" type="presParOf" srcId="{C92904A8-991E-F545-990A-BC8E1D126A04}" destId="{C68D6603-3963-984C-AEA0-1A1CC408FD7F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9C5326-D454-3942-9559-C561600FD087}">
      <dsp:nvSpPr>
        <dsp:cNvPr id="0" name=""/>
        <dsp:cNvSpPr/>
      </dsp:nvSpPr>
      <dsp:spPr>
        <a:xfrm>
          <a:off x="1680" y="0"/>
          <a:ext cx="1686577" cy="505326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Покупки и доставка</a:t>
          </a:r>
        </a:p>
      </dsp:txBody>
      <dsp:txXfrm>
        <a:off x="1680" y="0"/>
        <a:ext cx="1560246" cy="505326"/>
      </dsp:txXfrm>
    </dsp:sp>
    <dsp:sp modelId="{122AD093-626F-6A47-AD0C-E99AE39DAB1B}">
      <dsp:nvSpPr>
        <dsp:cNvPr id="0" name=""/>
        <dsp:cNvSpPr/>
      </dsp:nvSpPr>
      <dsp:spPr>
        <a:xfrm>
          <a:off x="1350943" y="0"/>
          <a:ext cx="1686577" cy="505326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Фудтех и </a:t>
          </a: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e-grocery</a:t>
          </a: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603606" y="0"/>
        <a:ext cx="1181251" cy="505326"/>
      </dsp:txXfrm>
    </dsp:sp>
    <dsp:sp modelId="{6D91626C-093E-C640-80E7-A8B9FC99685D}">
      <dsp:nvSpPr>
        <dsp:cNvPr id="0" name=""/>
        <dsp:cNvSpPr/>
      </dsp:nvSpPr>
      <dsp:spPr>
        <a:xfrm>
          <a:off x="2700205" y="0"/>
          <a:ext cx="1686577" cy="505326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Образование, поиск работы</a:t>
          </a:r>
        </a:p>
      </dsp:txBody>
      <dsp:txXfrm>
        <a:off x="2952868" y="0"/>
        <a:ext cx="1181251" cy="505326"/>
      </dsp:txXfrm>
    </dsp:sp>
    <dsp:sp modelId="{C68D6603-3963-984C-AEA0-1A1CC408FD7F}">
      <dsp:nvSpPr>
        <dsp:cNvPr id="0" name=""/>
        <dsp:cNvSpPr/>
      </dsp:nvSpPr>
      <dsp:spPr>
        <a:xfrm>
          <a:off x="4049468" y="0"/>
          <a:ext cx="1686577" cy="505326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Развлечения</a:t>
          </a:r>
        </a:p>
      </dsp:txBody>
      <dsp:txXfrm>
        <a:off x="4302131" y="0"/>
        <a:ext cx="1181251" cy="5053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2026-03-09T08:30:00Z</dcterms:created>
  <dcterms:modified xsi:type="dcterms:W3CDTF">2026-03-09T09:51:00Z</dcterms:modified>
</cp:coreProperties>
</file>