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4C78" w14:textId="77777777" w:rsidR="0050768F" w:rsidRDefault="00000000" w:rsidP="00FD25FE">
      <w:pPr>
        <w:spacing w:after="0" w:line="240" w:lineRule="auto"/>
        <w:ind w:firstLine="567"/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Роль образования в формировании человеческого капитала и обеспечении долгосрочного экономического роста</w:t>
      </w:r>
    </w:p>
    <w:p w14:paraId="5189CC9C" w14:textId="77777777" w:rsidR="002A2713" w:rsidRDefault="002A2713" w:rsidP="00FD25FE">
      <w:pPr>
        <w:spacing w:after="0" w:line="240" w:lineRule="auto"/>
        <w:ind w:firstLine="567"/>
        <w:jc w:val="center"/>
        <w:rPr>
          <w:b/>
          <w:bCs/>
          <w:i/>
          <w:iCs/>
          <w:szCs w:val="24"/>
          <w:lang w:val="ru-RU"/>
        </w:rPr>
      </w:pPr>
    </w:p>
    <w:p w14:paraId="28B37DCC" w14:textId="111E46AB" w:rsidR="0050768F" w:rsidRDefault="00000000" w:rsidP="00FD25FE">
      <w:pPr>
        <w:spacing w:after="0" w:line="240" w:lineRule="auto"/>
        <w:ind w:firstLine="567"/>
        <w:jc w:val="center"/>
        <w:rPr>
          <w:b/>
          <w:bCs/>
          <w:i/>
          <w:iCs/>
          <w:szCs w:val="24"/>
          <w:lang w:val="ru-RU"/>
        </w:rPr>
      </w:pPr>
      <w:proofErr w:type="spellStart"/>
      <w:r>
        <w:rPr>
          <w:b/>
          <w:bCs/>
          <w:i/>
          <w:iCs/>
          <w:szCs w:val="24"/>
          <w:lang w:val="ru-RU"/>
        </w:rPr>
        <w:t>Бахрин</w:t>
      </w:r>
      <w:proofErr w:type="spellEnd"/>
      <w:r>
        <w:rPr>
          <w:b/>
          <w:bCs/>
          <w:i/>
          <w:iCs/>
          <w:szCs w:val="24"/>
          <w:lang w:val="ru-RU"/>
        </w:rPr>
        <w:t xml:space="preserve"> Богдан Петрович</w:t>
      </w:r>
    </w:p>
    <w:p w14:paraId="08EDCBA9" w14:textId="77777777" w:rsidR="0050768F" w:rsidRDefault="00000000" w:rsidP="00FD25FE">
      <w:pPr>
        <w:spacing w:after="0" w:line="240" w:lineRule="auto"/>
        <w:ind w:firstLine="567"/>
        <w:jc w:val="center"/>
        <w:rPr>
          <w:szCs w:val="24"/>
          <w:lang w:val="ru-RU"/>
        </w:rPr>
      </w:pPr>
      <w:r>
        <w:rPr>
          <w:i/>
          <w:iCs/>
          <w:szCs w:val="24"/>
          <w:lang w:val="ru-RU"/>
        </w:rPr>
        <w:t>Студент</w:t>
      </w:r>
    </w:p>
    <w:p w14:paraId="25AACFFD" w14:textId="77777777" w:rsidR="0050768F" w:rsidRDefault="00000000" w:rsidP="00FD25FE">
      <w:pPr>
        <w:spacing w:after="0" w:line="240" w:lineRule="auto"/>
        <w:ind w:firstLine="567"/>
        <w:jc w:val="center"/>
        <w:rPr>
          <w:szCs w:val="24"/>
          <w:lang w:val="ru-RU"/>
        </w:rPr>
      </w:pPr>
      <w:r>
        <w:rPr>
          <w:i/>
          <w:iCs/>
          <w:szCs w:val="24"/>
          <w:lang w:val="ru-RU"/>
        </w:rPr>
        <w:t>Донецкий Государственный Университет</w:t>
      </w:r>
    </w:p>
    <w:p w14:paraId="24F9DC3A" w14:textId="77777777" w:rsidR="0050768F" w:rsidRDefault="00000000" w:rsidP="00FD25FE">
      <w:pPr>
        <w:spacing w:after="0" w:line="240" w:lineRule="auto"/>
        <w:ind w:firstLine="567"/>
        <w:jc w:val="center"/>
        <w:rPr>
          <w:szCs w:val="24"/>
          <w:lang w:val="ru-RU"/>
        </w:rPr>
      </w:pPr>
      <w:r>
        <w:rPr>
          <w:i/>
          <w:iCs/>
          <w:szCs w:val="24"/>
          <w:lang w:val="ru-RU"/>
        </w:rPr>
        <w:t>Экономический факультет, Донецк, Россия</w:t>
      </w:r>
    </w:p>
    <w:p w14:paraId="20826335" w14:textId="77777777" w:rsidR="0050768F" w:rsidRDefault="00000000" w:rsidP="00FD25FE">
      <w:pPr>
        <w:spacing w:after="0" w:line="240" w:lineRule="auto"/>
        <w:ind w:firstLine="567"/>
        <w:jc w:val="center"/>
        <w:rPr>
          <w:szCs w:val="24"/>
        </w:rPr>
      </w:pPr>
      <w:r>
        <w:rPr>
          <w:i/>
          <w:iCs/>
          <w:szCs w:val="24"/>
        </w:rPr>
        <w:t>E-mail: bahrinbogdan2007@gmail.com</w:t>
      </w:r>
    </w:p>
    <w:p w14:paraId="45249C54" w14:textId="77777777" w:rsidR="0050768F" w:rsidRDefault="0050768F" w:rsidP="00FD25FE">
      <w:pPr>
        <w:spacing w:after="0" w:line="240" w:lineRule="auto"/>
        <w:ind w:firstLine="567"/>
        <w:jc w:val="center"/>
      </w:pPr>
    </w:p>
    <w:p w14:paraId="288E2593" w14:textId="4E74F9AD" w:rsidR="0050768F" w:rsidRDefault="00D06E03" w:rsidP="00FD25FE">
      <w:pPr>
        <w:spacing w:after="0" w:line="240" w:lineRule="auto"/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Постановка</w:t>
      </w:r>
      <w:r w:rsidR="00000000">
        <w:rPr>
          <w:rStyle w:val="a3"/>
          <w:color w:val="0F1115"/>
          <w:lang w:val="ru-RU"/>
        </w:rPr>
        <w:t xml:space="preserve"> </w:t>
      </w:r>
      <w:r>
        <w:rPr>
          <w:rStyle w:val="a3"/>
          <w:color w:val="0F1115"/>
          <w:lang w:val="ru-RU"/>
        </w:rPr>
        <w:t xml:space="preserve">проблемы. </w:t>
      </w:r>
      <w:r w:rsidRPr="00D06E03">
        <w:rPr>
          <w:rStyle w:val="a3"/>
          <w:b w:val="0"/>
          <w:bCs w:val="0"/>
          <w:color w:val="0F1115"/>
          <w:lang w:val="ru-RU"/>
        </w:rPr>
        <w:t>Важность рассматриваемой</w:t>
      </w:r>
      <w:r>
        <w:rPr>
          <w:rStyle w:val="a3"/>
          <w:b w:val="0"/>
          <w:bCs w:val="0"/>
          <w:color w:val="0F1115"/>
        </w:rPr>
        <w:t xml:space="preserve"> </w:t>
      </w:r>
      <w:r>
        <w:rPr>
          <w:rStyle w:val="a3"/>
          <w:b w:val="0"/>
          <w:bCs w:val="0"/>
          <w:color w:val="0F1115"/>
          <w:lang w:val="ru-RU"/>
        </w:rPr>
        <w:t>темы</w:t>
      </w:r>
      <w:r w:rsidR="00425D40">
        <w:rPr>
          <w:color w:val="0F1115"/>
          <w:lang w:val="ru-RU"/>
        </w:rPr>
        <w:t xml:space="preserve"> обусловлена</w:t>
      </w:r>
      <w:r w:rsidR="00000000">
        <w:rPr>
          <w:color w:val="0F1115"/>
          <w:lang w:val="ru-RU"/>
        </w:rPr>
        <w:t xml:space="preserve"> глобальными социально-экономическими трансформациями XXI века, переходом к экономике знаний и цифровой модели развития. В условиях технологического прогресса ключевым фактором конкурентоспособности государств становится человеческий капитал, основой которого выступает образование</w:t>
      </w:r>
      <w:r>
        <w:rPr>
          <w:color w:val="0F1115"/>
          <w:lang w:val="ru-RU"/>
        </w:rPr>
        <w:t xml:space="preserve"> </w:t>
      </w:r>
      <w:r>
        <w:rPr>
          <w:color w:val="0F1115"/>
        </w:rPr>
        <w:t>[1, c.241]</w:t>
      </w:r>
      <w:r w:rsidR="00000000">
        <w:rPr>
          <w:color w:val="0F1115"/>
          <w:lang w:val="ru-RU"/>
        </w:rPr>
        <w:t>.</w:t>
      </w:r>
    </w:p>
    <w:p w14:paraId="704430D2" w14:textId="59FEF21C" w:rsidR="0050768F" w:rsidRDefault="00000000" w:rsidP="00FD25FE">
      <w:pPr>
        <w:spacing w:after="0" w:line="240" w:lineRule="auto"/>
        <w:ind w:firstLine="567"/>
        <w:jc w:val="both"/>
        <w:rPr>
          <w:b/>
          <w:bCs/>
          <w:lang w:val="ru-RU"/>
        </w:rPr>
      </w:pPr>
      <w:r>
        <w:rPr>
          <w:color w:val="0F1115"/>
          <w:lang w:val="ru-RU"/>
        </w:rPr>
        <w:t>Современная экономика характеризуется усилением роли инноваций и высококвалифицированных кадров. Инвестиции в образование являются не только социальной политикой, но и стратегическим инструментом устойчивого роста, повышения производительности и формирования инновационного потенциала. Недостаточный уровень образования ведет к замедлению развития и росту социального неравенства</w:t>
      </w:r>
      <w:r w:rsidR="00D06E03">
        <w:rPr>
          <w:color w:val="0F1115"/>
        </w:rPr>
        <w:t xml:space="preserve"> [2, c.563]</w:t>
      </w:r>
      <w:r>
        <w:rPr>
          <w:color w:val="0F1115"/>
          <w:lang w:val="ru-RU"/>
        </w:rPr>
        <w:t>. Для стран с развивающейся экономикой повышение качества образования имеет особую значимость, так как позволяет снизить сырьевую зависимость и перейти к инновационной модели роста.</w:t>
      </w:r>
    </w:p>
    <w:p w14:paraId="24F567D5" w14:textId="555EA435" w:rsidR="003A1E15" w:rsidRDefault="00D06E03" w:rsidP="00FD25FE">
      <w:pPr>
        <w:spacing w:after="0" w:line="240" w:lineRule="auto"/>
        <w:ind w:firstLine="567"/>
        <w:jc w:val="both"/>
        <w:rPr>
          <w:rStyle w:val="a3"/>
          <w:color w:val="0F1115"/>
          <w:lang w:val="ru-RU"/>
        </w:rPr>
      </w:pPr>
      <w:r w:rsidRPr="00D06E03">
        <w:rPr>
          <w:rStyle w:val="a3"/>
          <w:color w:val="0F1115"/>
          <w:lang w:val="ru-RU"/>
        </w:rPr>
        <w:t>Краткое описание основных имеющихся результатов</w:t>
      </w:r>
      <w:r w:rsidR="00000000">
        <w:rPr>
          <w:rStyle w:val="a3"/>
          <w:color w:val="0F1115"/>
          <w:lang w:val="ru-RU"/>
        </w:rPr>
        <w:t xml:space="preserve">. </w:t>
      </w:r>
      <w:r w:rsidR="00000000">
        <w:rPr>
          <w:color w:val="0F1115"/>
          <w:lang w:val="ru-RU"/>
        </w:rPr>
        <w:t>В ходе провед</w:t>
      </w:r>
      <w:r w:rsidR="007C1186">
        <w:rPr>
          <w:color w:val="0F1115"/>
          <w:lang w:val="ru-RU"/>
        </w:rPr>
        <w:t>е</w:t>
      </w:r>
      <w:r w:rsidR="00000000">
        <w:rPr>
          <w:color w:val="0F1115"/>
          <w:lang w:val="ru-RU"/>
        </w:rPr>
        <w:t xml:space="preserve">нного </w:t>
      </w:r>
      <w:r w:rsidR="003A1E15">
        <w:rPr>
          <w:color w:val="0F1115"/>
          <w:lang w:val="ru-RU"/>
        </w:rPr>
        <w:t>автором</w:t>
      </w:r>
      <w:r w:rsidR="00000000">
        <w:rPr>
          <w:color w:val="0F1115"/>
          <w:lang w:val="ru-RU"/>
        </w:rPr>
        <w:t xml:space="preserve"> анализа были выявлены проблемы, которые сдерживают реализацию потенциала образования как ключевого фактора формирования человеческого капитала и обеспечения экономического роста. Прежде всего, </w:t>
      </w:r>
      <w:r w:rsidR="003A1E15">
        <w:rPr>
          <w:color w:val="0F1115"/>
          <w:lang w:val="ru-RU"/>
        </w:rPr>
        <w:t>автором</w:t>
      </w:r>
      <w:r w:rsidR="00000000">
        <w:rPr>
          <w:color w:val="0F1115"/>
          <w:lang w:val="ru-RU"/>
        </w:rPr>
        <w:t xml:space="preserve"> отмеча</w:t>
      </w:r>
      <w:r w:rsidR="003A1E15">
        <w:rPr>
          <w:color w:val="0F1115"/>
          <w:lang w:val="ru-RU"/>
        </w:rPr>
        <w:t>ется</w:t>
      </w:r>
      <w:r w:rsidR="00000000">
        <w:rPr>
          <w:color w:val="0F1115"/>
          <w:lang w:val="ru-RU"/>
        </w:rPr>
        <w:t xml:space="preserve"> несоответствие между структурой подготовки кадров и актуальными потребностями рынка труда, особенно в условиях цифровизации и развития высокотехнологичных отраслей. Кроме того, сохраняется значительная дифференциация качества образования между регионами, что усиливает социально-экономическое неравенство и ограничивает возможности устойчивого развития отдельных территорий. Также, по мнению</w:t>
      </w:r>
      <w:r w:rsidR="003A1E15">
        <w:rPr>
          <w:color w:val="0F1115"/>
          <w:lang w:val="ru-RU"/>
        </w:rPr>
        <w:t xml:space="preserve"> автора</w:t>
      </w:r>
      <w:r w:rsidR="00000000">
        <w:rPr>
          <w:color w:val="0F1115"/>
          <w:lang w:val="ru-RU"/>
        </w:rPr>
        <w:t>, недостаточный уровень практико-ориентированности образовательных программ затрудняет быструю адаптацию выпускников к профессиональной деятельности.</w:t>
      </w:r>
    </w:p>
    <w:p w14:paraId="54098CDC" w14:textId="1C55E2EF" w:rsidR="007C1186" w:rsidRDefault="007C1186" w:rsidP="007C1186">
      <w:pPr>
        <w:spacing w:after="0" w:line="240" w:lineRule="auto"/>
        <w:ind w:firstLine="397"/>
        <w:jc w:val="both"/>
        <w:rPr>
          <w:color w:val="0F1115"/>
          <w:lang w:val="ru-RU"/>
        </w:rPr>
      </w:pPr>
      <w:r>
        <w:rPr>
          <w:color w:val="0F1115"/>
          <w:lang w:val="ru-RU"/>
        </w:rPr>
        <w:t>Статистика подтверждает</w:t>
      </w:r>
      <w:r>
        <w:rPr>
          <w:color w:val="0F1115"/>
          <w:lang w:val="ru-RU"/>
        </w:rPr>
        <w:t xml:space="preserve"> – </w:t>
      </w:r>
      <w:r>
        <w:rPr>
          <w:color w:val="0F1115"/>
          <w:lang w:val="ru-RU"/>
        </w:rPr>
        <w:t>прирост среднего уровня образования на один год увеличивает производительность труда на 5–7%. Лица с высшим образованием зарабатывают на 30–50% больше, что стимулирует потребительский спрос и налоговые поступления. Образование также способствует инновационной активности: в развитых странах доля инновационного сектора может достигать 20–25% ВВП</w:t>
      </w:r>
      <w:r>
        <w:rPr>
          <w:color w:val="0F1115"/>
          <w:lang w:val="ru-RU"/>
        </w:rPr>
        <w:t xml:space="preserve"> </w:t>
      </w:r>
      <w:r>
        <w:rPr>
          <w:color w:val="0F1115"/>
        </w:rPr>
        <w:t>[3, c.69]</w:t>
      </w:r>
      <w:r>
        <w:rPr>
          <w:color w:val="0F1115"/>
          <w:lang w:val="ru-RU"/>
        </w:rPr>
        <w:t>. Кроме того, образование снижает безработицу и ускоряет адаптацию к изменениям рынка труда. Инвестиции в образование создают мультипликативный эффект, обеспечивая устойчивый экономический рост</w:t>
      </w:r>
      <w:r>
        <w:rPr>
          <w:color w:val="0F1115"/>
          <w:lang w:val="ru-RU"/>
        </w:rPr>
        <w:t xml:space="preserve"> (рис. 1)</w:t>
      </w:r>
      <w:r>
        <w:rPr>
          <w:color w:val="0F1115"/>
          <w:lang w:val="ru-RU"/>
        </w:rPr>
        <w:t>.</w:t>
      </w:r>
    </w:p>
    <w:p w14:paraId="6F101626" w14:textId="7C6475B0" w:rsidR="004D6A38" w:rsidRPr="001B049D" w:rsidRDefault="007C1186" w:rsidP="004D6A38">
      <w:pPr>
        <w:spacing w:after="0" w:line="240" w:lineRule="auto"/>
        <w:ind w:firstLine="567"/>
        <w:jc w:val="both"/>
        <w:rPr>
          <w:color w:val="0F1115"/>
          <w:lang w:val="ru-RU"/>
        </w:rPr>
      </w:pPr>
      <w:r>
        <w:rPr>
          <w:color w:val="0F1115"/>
          <w:lang w:val="ru-RU"/>
        </w:rPr>
        <w:t>Поэтому</w:t>
      </w:r>
      <w:r>
        <w:rPr>
          <w:color w:val="0F1115"/>
          <w:lang w:val="ru-RU"/>
        </w:rPr>
        <w:t xml:space="preserve"> целесообразно усилить взаимодействие системы образования с реальным сектором экономики за счёт развития дуального обучения, расширения программ стажировок и внедрения проектной деятельности в образовательный процесс. Особое внимание следует уделить модернизации образовательных программ с акцентом на развитие цифровых компетенций, критического мышления и предпринимательских навыков. </w:t>
      </w:r>
      <w:r w:rsidR="001B049D" w:rsidRPr="001B049D">
        <w:rPr>
          <w:color w:val="0F1115"/>
          <w:lang w:val="ru-RU"/>
        </w:rPr>
        <w:t>Для интеграции образования, науки и бизнеса необходимо создавать отраслевые консорциумы из университетов, НИИ и компаний для разработки программ под конкретные инвест</w:t>
      </w:r>
      <w:r w:rsidR="001B049D">
        <w:rPr>
          <w:color w:val="0F1115"/>
          <w:lang w:val="ru-RU"/>
        </w:rPr>
        <w:t xml:space="preserve">иционные </w:t>
      </w:r>
      <w:r w:rsidR="001B049D" w:rsidRPr="001B049D">
        <w:rPr>
          <w:color w:val="0F1115"/>
          <w:lang w:val="ru-RU"/>
        </w:rPr>
        <w:t xml:space="preserve">проекты, развивать систему «цифровых кафедр» для получения IT-квалификаций и стимулировать бизнес налоговыми льготами к открытию корпоративных кафедр. Требуется модернизировать содержание образования, внедряя во все программы модули по искусственному интеллекту, анализу данных и </w:t>
      </w:r>
      <w:r w:rsidR="001B049D" w:rsidRPr="001B049D">
        <w:rPr>
          <w:color w:val="0F1115"/>
          <w:lang w:val="ru-RU"/>
        </w:rPr>
        <w:lastRenderedPageBreak/>
        <w:t xml:space="preserve">роботизации, развивать у студентов навыки XXI века (критическое мышление, управление проектами, работа в распределенных командах) и создавать на базе вузов учебно-тренировочные </w:t>
      </w:r>
      <w:r w:rsidR="004D6A38">
        <w:rPr>
          <w:color w:val="0F1115"/>
          <w:lang w:val="ru-RU"/>
        </w:rPr>
        <w:t>центры</w:t>
      </w:r>
      <w:r w:rsidR="004D6A38" w:rsidRPr="004D6A38">
        <w:rPr>
          <w:color w:val="0F1115"/>
          <w:lang w:val="ru-RU"/>
        </w:rPr>
        <w:t>, где студенты проходят все этапы создания бизнеса или продукта без административных и финансовых рисков.</w:t>
      </w:r>
    </w:p>
    <w:p w14:paraId="5720ABEA" w14:textId="77777777" w:rsidR="007C1186" w:rsidRDefault="007C1186" w:rsidP="007C1186">
      <w:pPr>
        <w:spacing w:after="0" w:line="240" w:lineRule="auto"/>
        <w:ind w:firstLine="397"/>
        <w:jc w:val="both"/>
        <w:rPr>
          <w:color w:val="0F1115"/>
          <w:lang w:val="ru-RU"/>
        </w:rPr>
      </w:pPr>
    </w:p>
    <w:p w14:paraId="753B92B5" w14:textId="77777777" w:rsidR="007C1186" w:rsidRDefault="007C1186" w:rsidP="007C1186">
      <w:pPr>
        <w:spacing w:after="0" w:line="240" w:lineRule="auto"/>
        <w:ind w:firstLine="397"/>
        <w:jc w:val="both"/>
        <w:rPr>
          <w:rStyle w:val="a3"/>
          <w:color w:val="0F1115"/>
          <w:lang w:val="ru-RU"/>
        </w:rPr>
      </w:pPr>
    </w:p>
    <w:p w14:paraId="348456FA" w14:textId="4BDA30AD" w:rsidR="007C1186" w:rsidRPr="001374CD" w:rsidRDefault="007C1186" w:rsidP="007C1186">
      <w:pPr>
        <w:spacing w:after="0" w:line="240" w:lineRule="auto"/>
        <w:jc w:val="both"/>
        <w:rPr>
          <w:b/>
          <w:bCs/>
          <w:color w:val="0F1115"/>
          <w:lang w:val="ru-RU"/>
        </w:rPr>
      </w:pPr>
      <w:r>
        <w:rPr>
          <w:noProof/>
        </w:rPr>
        <w:drawing>
          <wp:inline distT="0" distB="0" distL="0" distR="0" wp14:anchorId="0C8A3365" wp14:editId="59896763">
            <wp:extent cx="4948015" cy="21535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95E5C04" w14:textId="77777777" w:rsidR="007C1186" w:rsidRPr="007C1186" w:rsidRDefault="007C1186" w:rsidP="007C1186">
      <w:pPr>
        <w:ind w:firstLine="567"/>
        <w:jc w:val="center"/>
      </w:pPr>
      <w:r w:rsidRPr="007C1186">
        <w:rPr>
          <w:lang w:val="ru-RU"/>
        </w:rPr>
        <w:t xml:space="preserve">Рис. 1. </w:t>
      </w:r>
      <w:proofErr w:type="spellStart"/>
      <w:r w:rsidRPr="007C1186">
        <w:t>Вклад</w:t>
      </w:r>
      <w:proofErr w:type="spellEnd"/>
      <w:r w:rsidRPr="007C1186">
        <w:t xml:space="preserve"> </w:t>
      </w:r>
      <w:proofErr w:type="spellStart"/>
      <w:r w:rsidRPr="007C1186">
        <w:t>образования</w:t>
      </w:r>
      <w:proofErr w:type="spellEnd"/>
      <w:r w:rsidRPr="007C1186">
        <w:t xml:space="preserve"> в </w:t>
      </w:r>
      <w:proofErr w:type="spellStart"/>
      <w:r w:rsidRPr="007C1186">
        <w:t>формирование</w:t>
      </w:r>
      <w:proofErr w:type="spellEnd"/>
      <w:r w:rsidRPr="007C1186">
        <w:t xml:space="preserve"> </w:t>
      </w:r>
      <w:proofErr w:type="spellStart"/>
      <w:r w:rsidRPr="007C1186">
        <w:t>человеческого</w:t>
      </w:r>
      <w:proofErr w:type="spellEnd"/>
      <w:r w:rsidRPr="007C1186">
        <w:t xml:space="preserve"> </w:t>
      </w:r>
      <w:proofErr w:type="spellStart"/>
      <w:r w:rsidRPr="007C1186">
        <w:t>капитала</w:t>
      </w:r>
      <w:proofErr w:type="spellEnd"/>
      <w:r w:rsidRPr="007C1186">
        <w:t xml:space="preserve"> и </w:t>
      </w:r>
      <w:proofErr w:type="spellStart"/>
      <w:r w:rsidRPr="007C1186">
        <w:t>долгосрочный</w:t>
      </w:r>
      <w:proofErr w:type="spellEnd"/>
      <w:r w:rsidRPr="007C1186">
        <w:t xml:space="preserve"> </w:t>
      </w:r>
      <w:proofErr w:type="spellStart"/>
      <w:r w:rsidRPr="007C1186">
        <w:t>экономический</w:t>
      </w:r>
      <w:proofErr w:type="spellEnd"/>
      <w:r w:rsidRPr="007C1186">
        <w:t xml:space="preserve"> </w:t>
      </w:r>
      <w:proofErr w:type="spellStart"/>
      <w:r w:rsidRPr="007C1186">
        <w:t>рост</w:t>
      </w:r>
      <w:proofErr w:type="spellEnd"/>
    </w:p>
    <w:p w14:paraId="152FE78D" w14:textId="77D0B67E" w:rsidR="007C1186" w:rsidRPr="001B049D" w:rsidRDefault="001B049D" w:rsidP="001B049D">
      <w:pPr>
        <w:spacing w:after="0" w:line="240" w:lineRule="auto"/>
        <w:ind w:firstLine="567"/>
        <w:jc w:val="both"/>
        <w:rPr>
          <w:color w:val="0F1115"/>
          <w:lang w:val="ru-RU"/>
        </w:rPr>
      </w:pPr>
      <w:r w:rsidRPr="001B049D">
        <w:rPr>
          <w:color w:val="0F1115"/>
          <w:lang w:val="ru-RU"/>
        </w:rPr>
        <w:t>Для преодоления регионального неравенства следует развивать единую национальную платформу с доступом к курсам лучших преподавателей, создавать виртуальные лаборатории («цифровые двойники») и внедрять образовательные ваучеры для жителей депрессивных регионов. Систему непрерывного образования целесообразно трансформировать через короткие интенсивные курсы с цифровыми сертификатами, государственно-частные платформы навыков и налоговые вычеты для граждан, инвестирующих в обучение.</w:t>
      </w:r>
    </w:p>
    <w:p w14:paraId="6895D6B8" w14:textId="6A02FD5A" w:rsidR="007C1186" w:rsidRPr="007C1186" w:rsidRDefault="007C1186" w:rsidP="007C1186">
      <w:pPr>
        <w:spacing w:after="0" w:line="240" w:lineRule="auto"/>
        <w:ind w:firstLine="567"/>
        <w:jc w:val="both"/>
        <w:rPr>
          <w:color w:val="0F1115"/>
          <w:lang w:val="ru-RU"/>
        </w:rPr>
      </w:pPr>
      <w:r>
        <w:rPr>
          <w:color w:val="0F1115"/>
          <w:lang w:val="ru-RU"/>
        </w:rPr>
        <w:t>Реализация предложенных мер, по мнению автора, позволит повысить эффективность формирования человеческого капитала и усилить роль образования в обеспечении долгосрочного экономического роста.</w:t>
      </w:r>
    </w:p>
    <w:p w14:paraId="6123D8FB" w14:textId="19717F1B" w:rsidR="0050768F" w:rsidRDefault="00000000" w:rsidP="00FD25FE">
      <w:pPr>
        <w:spacing w:after="0" w:line="240" w:lineRule="auto"/>
        <w:ind w:firstLine="567"/>
        <w:jc w:val="both"/>
        <w:rPr>
          <w:lang w:val="ru-RU"/>
        </w:rPr>
      </w:pPr>
      <w:r>
        <w:rPr>
          <w:b/>
          <w:bCs/>
          <w:lang w:val="ru-RU"/>
        </w:rPr>
        <w:t>Вывод</w:t>
      </w:r>
      <w:r w:rsidR="00D06E03">
        <w:rPr>
          <w:b/>
          <w:bCs/>
          <w:lang w:val="ru-RU"/>
        </w:rPr>
        <w:t>ы</w:t>
      </w:r>
      <w:r>
        <w:rPr>
          <w:b/>
          <w:bCs/>
          <w:lang w:val="ru-RU"/>
        </w:rPr>
        <w:t>.</w:t>
      </w:r>
      <w:r>
        <w:rPr>
          <w:lang w:val="ru-RU"/>
        </w:rPr>
        <w:t xml:space="preserve"> Образование выступает не просто инструментом развития человека, но фундаментом формирования всего человеческого капитала, от которого зависит устойчивость и динамика экономического роста. Инвестиции в знания и навыки населения создают синергетический эффект: повышают производительность труда, увеличивают доходы граждан, стимулируют инновации и снижают безработицу. </w:t>
      </w:r>
      <w:r w:rsidR="001374CD">
        <w:rPr>
          <w:lang w:val="ru-RU"/>
        </w:rPr>
        <w:t>К</w:t>
      </w:r>
      <w:r>
        <w:rPr>
          <w:lang w:val="ru-RU"/>
        </w:rPr>
        <w:t>ачественное образование становится стратегическим ресурсом страны, способным превращать потенциал людей в двигатель экономического прогресса, укреплять конкурентоспособность на мировой арене и обеспечивать устойчивое и гармоничное развитие общества в долгосрочной перспективе.</w:t>
      </w:r>
    </w:p>
    <w:p w14:paraId="374803A1" w14:textId="77777777" w:rsidR="0050768F" w:rsidRDefault="00000000" w:rsidP="00FD25FE">
      <w:pPr>
        <w:spacing w:after="0" w:line="240" w:lineRule="auto"/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28C024E2" w14:textId="47D9535B" w:rsidR="00FD25FE" w:rsidRPr="00FD25FE" w:rsidRDefault="00FD25FE" w:rsidP="00FD25FE">
      <w:pPr>
        <w:tabs>
          <w:tab w:val="left" w:pos="851"/>
        </w:tabs>
        <w:spacing w:after="0" w:line="240" w:lineRule="auto"/>
        <w:ind w:firstLine="567"/>
        <w:jc w:val="both"/>
        <w:rPr>
          <w:lang w:val="ru-RU"/>
        </w:rPr>
      </w:pPr>
      <w:r w:rsidRPr="00FD25FE">
        <w:rPr>
          <w:lang w:val="ru-RU"/>
        </w:rPr>
        <w:t>1.</w:t>
      </w:r>
      <w:r w:rsidRPr="00FD25FE">
        <w:rPr>
          <w:lang w:val="ru-RU"/>
        </w:rPr>
        <w:tab/>
        <w:t>Авдеева Д.А. Показатели человеческого капитала в исследованиях экономического роста: обзор // Экономический журнал Высшей школы экономики. 2022. Т. 26. № 2. С. 240–269.</w:t>
      </w:r>
    </w:p>
    <w:p w14:paraId="6E53C652" w14:textId="775FACE3" w:rsidR="00FD25FE" w:rsidRPr="00FD25FE" w:rsidRDefault="00FD25FE" w:rsidP="00FD25FE">
      <w:pPr>
        <w:tabs>
          <w:tab w:val="left" w:pos="851"/>
        </w:tabs>
        <w:spacing w:after="0" w:line="240" w:lineRule="auto"/>
        <w:ind w:firstLine="567"/>
        <w:jc w:val="both"/>
        <w:rPr>
          <w:lang w:val="ru-RU"/>
        </w:rPr>
      </w:pPr>
      <w:r w:rsidRPr="00FD25FE">
        <w:rPr>
          <w:lang w:val="ru-RU"/>
        </w:rPr>
        <w:t>2.</w:t>
      </w:r>
      <w:r w:rsidRPr="00FD25FE">
        <w:rPr>
          <w:lang w:val="ru-RU"/>
        </w:rPr>
        <w:tab/>
        <w:t>Баранова Н.М. Некоторые оценки человеческого капитала и его роль в экономическом развитии России // Вестник Российского университета дружбы народов. Серия: Экономика. 2018. Т. 26. № 4. С. 559–569.</w:t>
      </w:r>
    </w:p>
    <w:p w14:paraId="45C13712" w14:textId="2C7870B5" w:rsidR="0050768F" w:rsidRDefault="00FD25FE" w:rsidP="00FD25FE">
      <w:pPr>
        <w:tabs>
          <w:tab w:val="left" w:pos="851"/>
        </w:tabs>
        <w:spacing w:after="0" w:line="240" w:lineRule="auto"/>
        <w:ind w:firstLine="567"/>
        <w:jc w:val="both"/>
      </w:pPr>
      <w:r w:rsidRPr="00FD25FE">
        <w:rPr>
          <w:lang w:val="ru-RU"/>
        </w:rPr>
        <w:t>3.</w:t>
      </w:r>
      <w:r w:rsidRPr="00FD25FE">
        <w:rPr>
          <w:lang w:val="ru-RU"/>
        </w:rPr>
        <w:tab/>
        <w:t>Молчанов И.Н. Образование и экономический рост: настоящее и взгляд в будущее // Государственное управление. Электронный вестник. 2025. С. 68–79.</w:t>
      </w:r>
    </w:p>
    <w:sectPr w:rsidR="0050768F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68F"/>
    <w:rsid w:val="001374CD"/>
    <w:rsid w:val="001B049D"/>
    <w:rsid w:val="002A2713"/>
    <w:rsid w:val="003A1E15"/>
    <w:rsid w:val="00425D40"/>
    <w:rsid w:val="004D6A38"/>
    <w:rsid w:val="0050768F"/>
    <w:rsid w:val="007C1186"/>
    <w:rsid w:val="00CC1D09"/>
    <w:rsid w:val="00D06E03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62EAA"/>
  <w15:docId w15:val="{6C3AA8CE-0079-6944-BE0D-64B752D2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B5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1B5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141B5"/>
    <w:rPr>
      <w:rFonts w:ascii="Tahoma" w:eastAsiaTheme="minorEastAsia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D141B5"/>
    <w:rPr>
      <w:color w:val="0000FF" w:themeColor="hyperlink"/>
      <w:u w:val="single"/>
    </w:rPr>
  </w:style>
  <w:style w:type="character" w:styleId="a7">
    <w:name w:val="FollowedHyperlink"/>
    <w:rPr>
      <w:color w:val="80000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ds-markdown-paragraph">
    <w:name w:val="ds-markdown-paragraph"/>
    <w:basedOn w:val="a"/>
    <w:qFormat/>
    <w:rsid w:val="00D141B5"/>
    <w:pPr>
      <w:suppressAutoHyphens w:val="0"/>
      <w:spacing w:beforeAutospacing="1" w:afterAutospacing="1" w:line="240" w:lineRule="auto"/>
    </w:pPr>
    <w:rPr>
      <w:rFonts w:eastAsia="Times New Roman" w:cs="Times New Roman"/>
      <w:szCs w:val="24"/>
      <w:lang w:val="ru-RU"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D141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7C118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Вклад образования в формирование человеческого капитала и долгосрочный экономический рост (в %)</c:v>
                </c:pt>
              </c:strCache>
            </c:strRef>
          </c:tx>
          <c:spPr>
            <a:solidFill>
              <a:srgbClr val="636363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F93-774E-A498-329E7BD472DB}"/>
              </c:ext>
            </c:extLst>
          </c:dPt>
          <c:dPt>
            <c:idx val="1"/>
            <c:bubble3D val="0"/>
            <c:spPr>
              <a:solidFill>
                <a:srgbClr val="B4B4B4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2-2F93-774E-A498-329E7BD472DB}"/>
              </c:ext>
            </c:extLst>
          </c:dPt>
          <c:dPt>
            <c:idx val="2"/>
            <c:bubble3D val="0"/>
            <c:spPr>
              <a:solidFill>
                <a:srgbClr val="848484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4-2F93-774E-A498-329E7BD472DB}"/>
              </c:ext>
            </c:extLst>
          </c:dPt>
          <c:dPt>
            <c:idx val="3"/>
            <c:bubble3D val="0"/>
            <c:spPr>
              <a:solidFill>
                <a:srgbClr val="525252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6-2F93-774E-A498-329E7BD472DB}"/>
              </c:ext>
            </c:extLst>
          </c:dPt>
          <c:dLbls>
            <c:dLbl>
              <c:idx val="0"/>
              <c:numFmt formatCode="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93-774E-A498-329E7BD472DB}"/>
                </c:ext>
              </c:extLst>
            </c:dLbl>
            <c:dLbl>
              <c:idx val="1"/>
              <c:numFmt formatCode="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93-774E-A498-329E7BD472DB}"/>
                </c:ext>
              </c:extLst>
            </c:dLbl>
            <c:dLbl>
              <c:idx val="2"/>
              <c:numFmt formatCode="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93-774E-A498-329E7BD472DB}"/>
                </c:ext>
              </c:extLst>
            </c:dLbl>
            <c:dLbl>
              <c:idx val="3"/>
              <c:numFmt formatCode="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93-774E-A498-329E7BD472DB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Рост производительности труда </c:v>
                </c:pt>
                <c:pt idx="1">
                  <c:v>Развитие знаний и профессиональных навыков</c:v>
                </c:pt>
                <c:pt idx="2">
                  <c:v>Стимулирование инноваций и технологического прогресса</c:v>
                </c:pt>
                <c:pt idx="3">
                  <c:v>Повышение дохов и уровня жизни населения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0.25</c:v>
                </c:pt>
                <c:pt idx="1">
                  <c:v>0.3</c:v>
                </c:pt>
                <c:pt idx="2">
                  <c:v>0.25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F93-774E-A498-329E7BD472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</c:legend>
    <c:plotVisOnly val="1"/>
    <c:dispBlanksAs val="gap"/>
    <c:showDLblsOverMax val="1"/>
  </c:chart>
  <c:spPr>
    <a:solidFill>
      <a:srgbClr val="FFFFFF"/>
    </a:solidFill>
    <a:ln w="9360"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763</Words>
  <Characters>4933</Characters>
  <Application>Microsoft Office Word</Application>
  <DocSecurity>0</DocSecurity>
  <Lines>352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dc:description/>
  <cp:lastModifiedBy>Nastya Nastya</cp:lastModifiedBy>
  <cp:revision>8</cp:revision>
  <dcterms:created xsi:type="dcterms:W3CDTF">2026-02-25T18:52:00Z</dcterms:created>
  <dcterms:modified xsi:type="dcterms:W3CDTF">2026-03-01T11:28:00Z</dcterms:modified>
  <dc:language>ru-RU</dc:language>
</cp:coreProperties>
</file>