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C149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</w:rPr>
      </w:pPr>
      <w:r w:rsidRPr="002722B2">
        <w:rPr>
          <w:rFonts w:ascii="Times New Roman" w:eastAsia="Aptos" w:hAnsi="Times New Roman" w:cs="Times New Roman"/>
          <w:b/>
          <w:bCs/>
        </w:rPr>
        <w:t>Использование методов машинного обучения в моделировании доли потерь при дефолте российских корпоративных заемщиков</w:t>
      </w:r>
    </w:p>
    <w:p w14:paraId="30C3EEDA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722B2">
        <w:rPr>
          <w:rFonts w:ascii="Times New Roman" w:eastAsia="Aptos" w:hAnsi="Times New Roman" w:cs="Times New Roman"/>
          <w:b/>
          <w:bCs/>
          <w:i/>
          <w:iCs/>
        </w:rPr>
        <w:t>Гусарова Анна Сергеевна</w:t>
      </w:r>
    </w:p>
    <w:p w14:paraId="67AEF929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722B2">
        <w:rPr>
          <w:rFonts w:ascii="Times New Roman" w:eastAsia="Aptos" w:hAnsi="Times New Roman" w:cs="Times New Roman"/>
          <w:i/>
          <w:iCs/>
        </w:rPr>
        <w:t>Аспирант</w:t>
      </w:r>
    </w:p>
    <w:p w14:paraId="3E997D2D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722B2">
        <w:rPr>
          <w:rFonts w:ascii="Times New Roman" w:eastAsia="Aptos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2722B2">
        <w:rPr>
          <w:rFonts w:ascii="Times New Roman" w:eastAsia="Aptos" w:hAnsi="Times New Roman" w:cs="Times New Roman"/>
          <w:i/>
          <w:iCs/>
        </w:rPr>
        <w:t>М.В.Ломоносова</w:t>
      </w:r>
      <w:proofErr w:type="spellEnd"/>
      <w:r w:rsidRPr="002722B2">
        <w:rPr>
          <w:rFonts w:ascii="Times New Roman" w:eastAsia="Aptos" w:hAnsi="Times New Roman" w:cs="Times New Roman"/>
          <w:i/>
          <w:iCs/>
        </w:rPr>
        <w:t>,</w:t>
      </w:r>
    </w:p>
    <w:p w14:paraId="2163F4AD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722B2">
        <w:rPr>
          <w:rFonts w:ascii="Times New Roman" w:eastAsia="Aptos" w:hAnsi="Times New Roman" w:cs="Times New Roman"/>
          <w:i/>
          <w:iCs/>
        </w:rPr>
        <w:t>Московская школа экономики, Москва, Россия</w:t>
      </w:r>
    </w:p>
    <w:p w14:paraId="12AE55B6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</w:rPr>
      </w:pPr>
      <w:r w:rsidRPr="002722B2">
        <w:rPr>
          <w:rFonts w:ascii="Times New Roman" w:eastAsia="Aptos" w:hAnsi="Times New Roman" w:cs="Times New Roman"/>
          <w:i/>
          <w:iCs/>
          <w:lang w:val="en-US"/>
        </w:rPr>
        <w:t>E</w:t>
      </w:r>
      <w:r w:rsidRPr="002722B2">
        <w:rPr>
          <w:rFonts w:ascii="Times New Roman" w:eastAsia="Aptos" w:hAnsi="Times New Roman" w:cs="Times New Roman"/>
          <w:i/>
          <w:iCs/>
        </w:rPr>
        <w:t>–</w:t>
      </w:r>
      <w:r w:rsidRPr="002722B2">
        <w:rPr>
          <w:rFonts w:ascii="Times New Roman" w:eastAsia="Aptos" w:hAnsi="Times New Roman" w:cs="Times New Roman"/>
          <w:i/>
          <w:iCs/>
          <w:lang w:val="en-US"/>
        </w:rPr>
        <w:t>mail</w:t>
      </w:r>
      <w:r w:rsidRPr="002722B2">
        <w:rPr>
          <w:rFonts w:ascii="Times New Roman" w:eastAsia="Aptos" w:hAnsi="Times New Roman" w:cs="Times New Roman"/>
          <w:i/>
          <w:iCs/>
        </w:rPr>
        <w:t xml:space="preserve">: </w:t>
      </w:r>
      <w:proofErr w:type="spellStart"/>
      <w:r w:rsidRPr="002722B2">
        <w:rPr>
          <w:rFonts w:ascii="Times New Roman" w:eastAsia="Aptos" w:hAnsi="Times New Roman" w:cs="Times New Roman"/>
          <w:i/>
          <w:iCs/>
          <w:lang w:val="en-US"/>
        </w:rPr>
        <w:t>anna</w:t>
      </w:r>
      <w:proofErr w:type="spellEnd"/>
      <w:r w:rsidRPr="002722B2">
        <w:rPr>
          <w:rFonts w:ascii="Times New Roman" w:eastAsia="Aptos" w:hAnsi="Times New Roman" w:cs="Times New Roman"/>
          <w:i/>
          <w:iCs/>
        </w:rPr>
        <w:t>_</w:t>
      </w:r>
      <w:proofErr w:type="spellStart"/>
      <w:r w:rsidRPr="002722B2">
        <w:rPr>
          <w:rFonts w:ascii="Times New Roman" w:eastAsia="Aptos" w:hAnsi="Times New Roman" w:cs="Times New Roman"/>
          <w:i/>
          <w:iCs/>
          <w:lang w:val="en-US"/>
        </w:rPr>
        <w:t>gusarova</w:t>
      </w:r>
      <w:proofErr w:type="spellEnd"/>
      <w:r w:rsidRPr="002722B2">
        <w:rPr>
          <w:rFonts w:ascii="Times New Roman" w:eastAsia="Aptos" w:hAnsi="Times New Roman" w:cs="Times New Roman"/>
          <w:i/>
          <w:iCs/>
        </w:rPr>
        <w:t>99@</w:t>
      </w:r>
      <w:r w:rsidRPr="002722B2">
        <w:rPr>
          <w:rFonts w:ascii="Times New Roman" w:eastAsia="Aptos" w:hAnsi="Times New Roman" w:cs="Times New Roman"/>
          <w:i/>
          <w:iCs/>
          <w:lang w:val="en-US"/>
        </w:rPr>
        <w:t>mail</w:t>
      </w:r>
      <w:r w:rsidRPr="002722B2">
        <w:rPr>
          <w:rFonts w:ascii="Times New Roman" w:eastAsia="Aptos" w:hAnsi="Times New Roman" w:cs="Times New Roman"/>
          <w:i/>
          <w:iCs/>
        </w:rPr>
        <w:t>.</w:t>
      </w:r>
      <w:proofErr w:type="spellStart"/>
      <w:r w:rsidRPr="002722B2">
        <w:rPr>
          <w:rFonts w:ascii="Times New Roman" w:eastAsia="Aptos" w:hAnsi="Times New Roman" w:cs="Times New Roman"/>
          <w:i/>
          <w:iCs/>
          <w:lang w:val="en-US"/>
        </w:rPr>
        <w:t>ru</w:t>
      </w:r>
      <w:proofErr w:type="spellEnd"/>
    </w:p>
    <w:p w14:paraId="451AD7D2" w14:textId="77777777" w:rsidR="002722B2" w:rsidRPr="002722B2" w:rsidRDefault="002722B2" w:rsidP="002722B2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>На конец 3 квартала 2025 года на корпоративный сектор приходилось около 70 % совокупного кредитного портфеля банковской системы РФ. Сумма проблемных кредитов за 9 месяцев 2025 года возросла почти на 22 %, отчисления банков в резервы продемонстрировали закономерный рост на 32 %, достигнув 148 млрд [3]. Данные факты в совокупности свидетельствуют об увеличении кредитных рисков в корпоративном секторе, лежащем в основе функционирования российской банковской системы.</w:t>
      </w:r>
    </w:p>
    <w:p w14:paraId="31D66FAD" w14:textId="77777777" w:rsidR="002722B2" w:rsidRPr="002722B2" w:rsidRDefault="002722B2" w:rsidP="002722B2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В Базельских соглашениях [1] закреплена формула для определения минимального уровня капитала, необходимого для покрытия кредитных рисков: </w:t>
      </w:r>
    </w:p>
    <w:p w14:paraId="0A871844" w14:textId="77777777" w:rsidR="002722B2" w:rsidRPr="002722B2" w:rsidRDefault="002722B2" w:rsidP="00457AD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m:oMathPara>
        <m:oMath>
          <m:r>
            <w:rPr>
              <w:rFonts w:ascii="Cambria Math" w:eastAsia="Aptos" w:hAnsi="Cambria Math" w:cs="Times New Roman"/>
              <w:sz w:val="24"/>
              <w:szCs w:val="24"/>
            </w:rPr>
            <m:t>EL</m:t>
          </m:r>
          <m:d>
            <m:dPr>
              <m:ctrlPr>
                <w:rPr>
                  <w:rFonts w:ascii="Cambria Math" w:eastAsia="Aptos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Aptos" w:hAnsi="Cambria Math" w:cs="Times New Roman"/>
                  <w:sz w:val="24"/>
                  <w:szCs w:val="24"/>
                  <w:lang w:val="en-US"/>
                </w:rPr>
                <m:t>expected loss</m:t>
              </m:r>
              <m:ctrlPr>
                <w:rPr>
                  <w:rFonts w:ascii="Cambria Math" w:eastAsia="Aptos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="Aptos" w:hAnsi="Cambria Math" w:cs="Times New Roman"/>
              <w:sz w:val="24"/>
              <w:szCs w:val="24"/>
            </w:rPr>
            <m:t>=PD*EAD*LGD</m:t>
          </m:r>
        </m:oMath>
      </m:oMathPara>
    </w:p>
    <w:p w14:paraId="31FC8561" w14:textId="1E07B9B0" w:rsidR="00325C73" w:rsidRPr="002722B2" w:rsidRDefault="002722B2" w:rsidP="00325C73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Моделирование соответствующих компонент кредитного риска –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PD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(вероятность дефолта),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(уровень потерь при дефолте),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EAD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(величина кредитного требования под риском дефолта) – в рамках продвинутого подхода, основанного на внутренних рейтингах, позволяет банкам значительно больший уровень свободы в определении величины регулятивного капитала, чем базовый подход с четкой фиксацией значений параметров. В частности, если в рамках базового подхода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в зависимости от категории кредитных требований может составлять от 40 до 100 %, то при продвинутом подходе банк может применять минимальные значения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от 5 до 30 %, что обуславливает актуальность построения банками собственных моделей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>, обладающих приемлемыми статистическими характеристиками [5].</w:t>
      </w:r>
      <w:r w:rsidR="00325C73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325C73" w:rsidRPr="00325C73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Вместе с тем реализация продвинутых подходов в </w:t>
      </w:r>
      <w:r w:rsidR="00325C73">
        <w:rPr>
          <w:rFonts w:ascii="Times New Roman" w:eastAsia="Aptos" w:hAnsi="Times New Roman" w:cs="Times New Roman"/>
          <w:sz w:val="24"/>
          <w:szCs w:val="24"/>
        </w:rPr>
        <w:t>странах</w:t>
      </w:r>
      <w:r w:rsidR="00325C73" w:rsidRPr="00325C73">
        <w:rPr>
          <w:rFonts w:ascii="Times New Roman" w:eastAsia="Aptos" w:hAnsi="Times New Roman" w:cs="Times New Roman"/>
          <w:sz w:val="24"/>
          <w:szCs w:val="24"/>
        </w:rPr>
        <w:t xml:space="preserve"> с формирующимся рынком</w:t>
      </w:r>
      <w:r w:rsidR="00325C73" w:rsidRPr="00325C73">
        <w:rPr>
          <w:rFonts w:ascii="Times New Roman" w:eastAsia="Aptos" w:hAnsi="Times New Roman" w:cs="Times New Roman"/>
          <w:sz w:val="24"/>
          <w:szCs w:val="24"/>
          <w:highlight w:val="yellow"/>
        </w:rPr>
        <w:t>, включая Россию, существенно осложнена недостатком качественных данных и спецификой институциональной среды</w:t>
      </w:r>
      <w:r w:rsidR="00325C73">
        <w:rPr>
          <w:rFonts w:ascii="Times New Roman" w:eastAsia="Aptos" w:hAnsi="Times New Roman" w:cs="Times New Roman"/>
          <w:sz w:val="24"/>
          <w:szCs w:val="24"/>
        </w:rPr>
        <w:t>.</w:t>
      </w:r>
    </w:p>
    <w:p w14:paraId="42F4CC24" w14:textId="77777777" w:rsidR="002722B2" w:rsidRPr="002722B2" w:rsidRDefault="002722B2" w:rsidP="002722B2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С учетом того, что в литературе преимущественное внимание уделяется задаче прогнозирования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PD</w:t>
      </w:r>
      <w:r w:rsidRPr="002722B2">
        <w:rPr>
          <w:rFonts w:ascii="Times New Roman" w:eastAsia="Aptos" w:hAnsi="Times New Roman" w:cs="Times New Roman"/>
          <w:sz w:val="24"/>
          <w:szCs w:val="24"/>
        </w:rPr>
        <w:t>, а также дефицита исследований в области прогнозирования кредитных рисков применительно к российской банковской сфере, приобретает особую значимость цель работы – разработка подходов для оценки уровня потерь при дефолте российских корпоративных заемщиков, обеспечивающих повышение точности прогнозов и снижение кредитных рисков банков.</w:t>
      </w:r>
    </w:p>
    <w:p w14:paraId="44484856" w14:textId="77777777" w:rsidR="002722B2" w:rsidRPr="002722B2" w:rsidRDefault="002722B2" w:rsidP="002722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Для достижения данной цели посредством выгрузки данных из информационной системы «СПАРК-Интерфакс» была сформирована выборка из 646 юридических лиц, потерпевших дефолт по текущим обязательствам в период 2020-2023 </w:t>
      </w: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гг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 xml:space="preserve"> [6]. Дата дефолта определялась как дата признания заемщиком банкротом и открытия в отношении него конкурсного производства. Целевая переменная «</w:t>
      </w: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LGD_target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>» рассчитана как отношение объема невыплаченного совокупного долга на дату последней доступной финансовой отчетности и процентов по нему к размеру долга на дату дефолта. Среднее значение «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>_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target</w:t>
      </w:r>
      <w:r w:rsidRPr="002722B2">
        <w:rPr>
          <w:rFonts w:ascii="Times New Roman" w:eastAsia="Aptos" w:hAnsi="Times New Roman" w:cs="Times New Roman"/>
          <w:sz w:val="24"/>
          <w:szCs w:val="24"/>
        </w:rPr>
        <w:t>» составило 0.3, в то время как медиана равна нулю, что свидетельствует об асимметрии распределения, стандартное отклонение 0.4 и дисперсия 0.2 отражают высокую вариабельность данных. Тесты на нормальность Шапиро-</w:t>
      </w: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Уилка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 xml:space="preserve"> и Колмогорова-Смирнова отвергают гипотезу о нормальности распределения, что типично для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LGD</w:t>
      </w:r>
      <w:r w:rsidRPr="002722B2">
        <w:rPr>
          <w:rFonts w:ascii="Times New Roman" w:eastAsia="Aptos" w:hAnsi="Times New Roman" w:cs="Times New Roman"/>
          <w:sz w:val="24"/>
          <w:szCs w:val="24"/>
        </w:rPr>
        <w:t>.</w:t>
      </w:r>
    </w:p>
    <w:p w14:paraId="240BDB1E" w14:textId="77777777" w:rsidR="002722B2" w:rsidRPr="002722B2" w:rsidRDefault="002722B2" w:rsidP="002722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>Для каждого заемщика была определена бинарная переменная-сценарий развития долга после дефолта: исход «Погашение», если сумма задолженности по арбитражным делам в категории «</w:t>
      </w: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Банкроство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>» на дату последней доступной финансовой отчетности составляет не более 5 % от совокупного долга заемщика, иначе – исход «Списание». В выборке наблюдается дисбаланс классов: 412 погашений и 234 списания.</w:t>
      </w:r>
    </w:p>
    <w:p w14:paraId="75E1D980" w14:textId="77777777" w:rsidR="002722B2" w:rsidRPr="002722B2" w:rsidRDefault="002722B2" w:rsidP="002722B2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Для построения моделей были использованы показатели годовой финансовой отчетности компаний и производные от них, итоговыми регрессорами стали признаки с наибольшей ранжирующей силой, оцененной посредством коэффициента Somers’D: </w:t>
      </w:r>
      <w:r w:rsidRPr="002722B2">
        <w:rPr>
          <w:rFonts w:ascii="Times New Roman" w:eastAsia="Aptos" w:hAnsi="Times New Roman" w:cs="Times New Roman"/>
          <w:sz w:val="24"/>
          <w:szCs w:val="24"/>
        </w:rPr>
        <w:lastRenderedPageBreak/>
        <w:t>совокупные активы (в тыс. рублей), основные средства/внеоборотные активы, валовая рентабельность, отрасль (бинарная переменная: 1 – циклические, 0 - нециклические).</w:t>
      </w:r>
    </w:p>
    <w:p w14:paraId="7461E7E7" w14:textId="77777777" w:rsidR="002722B2" w:rsidRPr="002722B2" w:rsidRDefault="002722B2" w:rsidP="002722B2">
      <w:pPr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>В российской литературе для прогнозирования уровня потерь при дефолте предлагается применять бета-регрессию, дерево регрессии, а также комбинированный подход (оценка вероятности исходов и потерь при этих исходах) [4]. В актуальной зарубежной литературе наблюдаются тенденции применения ансамблевых алгоритмов машинного обучения и нейронных сетей [2]. В данном исследовании были применены регрессионные модели, а также методы машинного обучения. С учетом двухэтапных моделей в рамках комбинированного подхода было обучено более 40 моделей, в таблице 1 приведены алгоритмы, продемонстрировавшие наилучшую прогностическую силу.</w:t>
      </w:r>
    </w:p>
    <w:p w14:paraId="0AC5E3D8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>Метрики качества моделей прогноза «</w:t>
      </w:r>
      <w:proofErr w:type="spellStart"/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>LGD_target</w:t>
      </w:r>
      <w:proofErr w:type="spellEnd"/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» на обучающей выборке </w:t>
      </w:r>
    </w:p>
    <w:p w14:paraId="64C292D5" w14:textId="77777777" w:rsidR="002722B2" w:rsidRPr="002722B2" w:rsidRDefault="002722B2" w:rsidP="002722B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(кросс-валидация: усреднение по 4 </w:t>
      </w:r>
      <w:proofErr w:type="spellStart"/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>подвыборкам</w:t>
      </w:r>
      <w:proofErr w:type="spellEnd"/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>)</w:t>
      </w:r>
    </w:p>
    <w:tbl>
      <w:tblPr>
        <w:tblStyle w:val="23"/>
        <w:tblW w:w="9060" w:type="dxa"/>
        <w:tblInd w:w="0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245"/>
        <w:gridCol w:w="1133"/>
        <w:gridCol w:w="1133"/>
        <w:gridCol w:w="1133"/>
        <w:gridCol w:w="1416"/>
      </w:tblGrid>
      <w:tr w:rsidR="002722B2" w:rsidRPr="002722B2" w14:paraId="06841C45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EC85" w14:textId="77777777" w:rsidR="002722B2" w:rsidRPr="002722B2" w:rsidRDefault="002722B2" w:rsidP="002722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22B2">
              <w:rPr>
                <w:rFonts w:ascii="Times New Roman" w:hAnsi="Times New Roman"/>
                <w:b/>
                <w:bCs/>
              </w:rPr>
              <w:t>Модель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5673" w14:textId="77777777" w:rsidR="002722B2" w:rsidRPr="002722B2" w:rsidRDefault="002722B2" w:rsidP="002722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22B2">
              <w:rPr>
                <w:rFonts w:ascii="Times New Roman" w:hAnsi="Times New Roman"/>
                <w:b/>
                <w:bCs/>
              </w:rPr>
              <w:t>R²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318" w14:textId="77777777" w:rsidR="002722B2" w:rsidRPr="002722B2" w:rsidRDefault="002722B2" w:rsidP="002722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22B2">
              <w:rPr>
                <w:rFonts w:ascii="Times New Roman" w:hAnsi="Times New Roman"/>
                <w:b/>
                <w:bCs/>
              </w:rPr>
              <w:t>RMSE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86F9" w14:textId="77777777" w:rsidR="002722B2" w:rsidRPr="002722B2" w:rsidRDefault="002722B2" w:rsidP="002722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22B2">
              <w:rPr>
                <w:rFonts w:ascii="Times New Roman" w:hAnsi="Times New Roman"/>
                <w:b/>
                <w:bCs/>
              </w:rPr>
              <w:t>Somers'D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F4B1" w14:textId="77777777" w:rsidR="002722B2" w:rsidRPr="002722B2" w:rsidRDefault="002722B2" w:rsidP="002722B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22B2">
              <w:rPr>
                <w:rFonts w:ascii="Times New Roman" w:hAnsi="Times New Roman"/>
                <w:b/>
                <w:bCs/>
              </w:rPr>
              <w:t>Loss Shortfall</w:t>
            </w:r>
          </w:p>
        </w:tc>
      </w:tr>
      <w:tr w:rsidR="002722B2" w:rsidRPr="002722B2" w14:paraId="38E2617F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411C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LightGBM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Classifier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Linear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91EE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0.37 (0.12)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5198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0.35 (0.41)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10E7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0.62 (0.38)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6235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-0.31 (-0.27)</w:t>
            </w:r>
          </w:p>
        </w:tc>
      </w:tr>
      <w:tr w:rsidR="002722B2" w:rsidRPr="002722B2" w14:paraId="3DA6602D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199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CatBoost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Regressor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C9F7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0.30 (0.11)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EB57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0.37 (0.42)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1D94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0.59 (0.35)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A0B8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-0.45 (-0.65)</w:t>
            </w:r>
          </w:p>
        </w:tc>
      </w:tr>
      <w:tr w:rsidR="002722B2" w:rsidRPr="002722B2" w14:paraId="782A1996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7411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LightGBM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Classifier + Random Forest Regressor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8239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0.40 (0.14)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9A94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0.34 (0.41)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962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0.78 (0.34)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7897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-0.80 (-0.93)</w:t>
            </w:r>
          </w:p>
        </w:tc>
      </w:tr>
      <w:tr w:rsidR="002722B2" w:rsidRPr="002722B2" w14:paraId="2CC13503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C71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Random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Forest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Regressor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2B9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0.21 (0.09)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3B79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0.39 (0.42)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80C0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0.53 (0.33)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FE3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-0.63 (-0.73)</w:t>
            </w:r>
          </w:p>
        </w:tc>
      </w:tr>
      <w:tr w:rsidR="002722B2" w:rsidRPr="002722B2" w14:paraId="6E62974C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D26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Random Forest Classifier + Linear Regression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D21A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0.27 (0.11)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B3B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0.38 (0.42)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C3D4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0.50 (0.33)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7D58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-0.40 (-0.42)</w:t>
            </w:r>
          </w:p>
        </w:tc>
      </w:tr>
      <w:tr w:rsidR="002722B2" w:rsidRPr="002722B2" w14:paraId="462A56DD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220A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Gaussian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Inverse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4F9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0.08 (0.07)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780A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0.42 (0.42)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11B2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0.33 (0.32)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8905" w14:textId="77777777" w:rsidR="002722B2" w:rsidRPr="00457AD8" w:rsidRDefault="002722B2" w:rsidP="002722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+0.07 (+0.04)</w:t>
            </w:r>
          </w:p>
        </w:tc>
      </w:tr>
      <w:tr w:rsidR="002722B2" w:rsidRPr="002722B2" w14:paraId="7FB8B696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3227" w14:textId="77777777" w:rsidR="002722B2" w:rsidRPr="00457AD8" w:rsidRDefault="002722B2" w:rsidP="002722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E227" w14:textId="77777777" w:rsidR="002722B2" w:rsidRPr="00457AD8" w:rsidRDefault="002722B2" w:rsidP="00272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BFCB" w14:textId="77777777" w:rsidR="002722B2" w:rsidRPr="00457AD8" w:rsidRDefault="002722B2" w:rsidP="00272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AF7B" w14:textId="77777777" w:rsidR="002722B2" w:rsidRPr="00457AD8" w:rsidRDefault="002722B2" w:rsidP="00272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845" w14:textId="77777777" w:rsidR="002722B2" w:rsidRPr="00457AD8" w:rsidRDefault="002722B2" w:rsidP="00272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</w:tr>
      <w:tr w:rsidR="002722B2" w:rsidRPr="002722B2" w14:paraId="35D7001B" w14:textId="77777777" w:rsidTr="00561A4B">
        <w:trPr>
          <w:trHeight w:val="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892F" w14:textId="77777777" w:rsidR="002722B2" w:rsidRPr="00457AD8" w:rsidRDefault="002722B2" w:rsidP="002722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Linear</w:t>
            </w:r>
            <w:proofErr w:type="spellEnd"/>
            <w:r w:rsidRPr="0045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AD8">
              <w:rPr>
                <w:rFonts w:ascii="Times New Roman" w:hAnsi="Times New Roman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B11C" w14:textId="77777777" w:rsidR="002722B2" w:rsidRPr="00457AD8" w:rsidRDefault="002722B2" w:rsidP="002722B2">
            <w:pPr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0.01 (0.01)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3B56" w14:textId="77777777" w:rsidR="002722B2" w:rsidRPr="00457AD8" w:rsidRDefault="002722B2" w:rsidP="002722B2">
            <w:pPr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0.44 (0.44)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CFA" w14:textId="77777777" w:rsidR="002722B2" w:rsidRPr="00457AD8" w:rsidRDefault="002722B2" w:rsidP="002722B2">
            <w:pPr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0.25 (0.25)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DAAE" w14:textId="77777777" w:rsidR="002722B2" w:rsidRPr="00457AD8" w:rsidRDefault="002722B2" w:rsidP="002722B2">
            <w:pPr>
              <w:rPr>
                <w:rFonts w:ascii="Times New Roman" w:hAnsi="Times New Roman"/>
                <w:sz w:val="20"/>
                <w:szCs w:val="20"/>
              </w:rPr>
            </w:pPr>
            <w:r w:rsidRPr="00457AD8">
              <w:rPr>
                <w:rFonts w:ascii="Times New Roman" w:hAnsi="Times New Roman"/>
                <w:sz w:val="20"/>
                <w:szCs w:val="20"/>
              </w:rPr>
              <w:t>-0.26 (-0.28)</w:t>
            </w:r>
          </w:p>
        </w:tc>
      </w:tr>
    </w:tbl>
    <w:p w14:paraId="142BDCCF" w14:textId="69505714" w:rsidR="002722B2" w:rsidRPr="002722B2" w:rsidRDefault="00325C73" w:rsidP="002722B2">
      <w:pPr>
        <w:tabs>
          <w:tab w:val="left" w:pos="2410"/>
        </w:tabs>
        <w:spacing w:after="0" w:line="240" w:lineRule="auto"/>
        <w:ind w:firstLine="397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  <w:highlight w:val="yellow"/>
        </w:rPr>
        <w:t>О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д</w:t>
      </w:r>
      <w:r>
        <w:rPr>
          <w:rFonts w:ascii="Times New Roman" w:eastAsia="Aptos" w:hAnsi="Times New Roman" w:cs="Times New Roman"/>
          <w:sz w:val="24"/>
          <w:szCs w:val="24"/>
          <w:highlight w:val="yellow"/>
        </w:rPr>
        <w:t>ноэтапные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ансамблевые модели машинного обучения продемонстрировали более высокую робастность и практическую применимость по сравнению с двухэтапными подходами</w:t>
      </w:r>
      <w:r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, 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значения метрик </w:t>
      </w:r>
      <w:r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у которых лучше </w:t>
      </w:r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(Somers'D 0.34–0.38 и R² 0.11–0.14 на кросс-</w:t>
      </w:r>
      <w:proofErr w:type="spellStart"/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валидации</w:t>
      </w:r>
      <w:proofErr w:type="spellEnd"/>
      <w:r>
        <w:rPr>
          <w:highlight w:val="yellow"/>
        </w:rPr>
        <w:t>)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eastAsia="Aptos" w:hAnsi="Times New Roman" w:cs="Times New Roman"/>
          <w:sz w:val="24"/>
          <w:szCs w:val="24"/>
          <w:highlight w:val="yellow"/>
        </w:rPr>
        <w:t>но заметно переобучение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на регрессионной стадии и накоплен</w:t>
      </w:r>
      <w:r>
        <w:rPr>
          <w:rFonts w:ascii="Times New Roman" w:eastAsia="Aptos" w:hAnsi="Times New Roman" w:cs="Times New Roman"/>
          <w:sz w:val="24"/>
          <w:szCs w:val="24"/>
          <w:highlight w:val="yellow"/>
        </w:rPr>
        <w:t>ие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ошибок классификации и регрессии.</w:t>
      </w:r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  <w:lang w:val="en-US"/>
        </w:rPr>
        <w:t>CatBoost</w:t>
      </w:r>
      <w:proofErr w:type="spellEnd"/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показывает сопоставимые результаты (</w:t>
      </w:r>
      <w:proofErr w:type="gramStart"/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Somers'D</w:t>
      </w:r>
      <w:proofErr w:type="gramEnd"/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0.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35, R² 0.11 на кросс-</w:t>
      </w:r>
      <w:proofErr w:type="spellStart"/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валидации</w:t>
      </w:r>
      <w:proofErr w:type="spellEnd"/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)</w:t>
      </w:r>
      <w:r w:rsidR="002722B2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 xml:space="preserve"> 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при существенно меньшей склонности к переобучению и меньшей сложности реализации</w:t>
      </w:r>
      <w:r w:rsidR="002722B2" w:rsidRPr="002722B2">
        <w:rPr>
          <w:rFonts w:ascii="Times New Roman" w:eastAsia="Aptos" w:hAnsi="Times New Roman" w:cs="Times New Roman"/>
          <w:sz w:val="24"/>
          <w:szCs w:val="24"/>
        </w:rPr>
        <w:t>, немного более низким качеством обладает случайный лес. Дерево регрессии и параметрические GLM (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Fractional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Logit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, 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Beta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Logit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, 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Linear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="002722B2" w:rsidRPr="002722B2">
        <w:rPr>
          <w:rFonts w:ascii="Times New Roman" w:eastAsia="Aptos" w:hAnsi="Times New Roman" w:cs="Times New Roman"/>
          <w:sz w:val="24"/>
          <w:szCs w:val="24"/>
        </w:rPr>
        <w:t>Regression</w:t>
      </w:r>
      <w:proofErr w:type="spellEnd"/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) существенно уступают (R² ≤ 0.07, Somers'D ≤ 0.32 на кросс-валидации), подтверждая ограниченную пригодность для сложных распределений LGD. </w:t>
      </w:r>
      <w:r w:rsidR="002722B2" w:rsidRPr="002722B2">
        <w:rPr>
          <w:rFonts w:ascii="Times New Roman" w:eastAsia="Aptos" w:hAnsi="Times New Roman" w:cs="Times New Roman"/>
          <w:sz w:val="24"/>
          <w:szCs w:val="24"/>
          <w:lang w:val="en-US"/>
        </w:rPr>
        <w:t>Gaussian</w:t>
      </w:r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2722B2" w:rsidRPr="002722B2">
        <w:rPr>
          <w:rFonts w:ascii="Times New Roman" w:eastAsia="Aptos" w:hAnsi="Times New Roman" w:cs="Times New Roman"/>
          <w:sz w:val="24"/>
          <w:szCs w:val="24"/>
          <w:lang w:val="en-US"/>
        </w:rPr>
        <w:t>Inverse</w:t>
      </w:r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2722B2" w:rsidRPr="002722B2">
        <w:rPr>
          <w:rFonts w:ascii="Times New Roman" w:eastAsia="Aptos" w:hAnsi="Times New Roman" w:cs="Times New Roman"/>
          <w:sz w:val="24"/>
          <w:szCs w:val="24"/>
          <w:lang w:val="en-US"/>
        </w:rPr>
        <w:t>Power</w:t>
      </w:r>
      <w:r w:rsidR="002722B2" w:rsidRPr="002722B2">
        <w:rPr>
          <w:rFonts w:ascii="Times New Roman" w:eastAsia="Aptos" w:hAnsi="Times New Roman" w:cs="Times New Roman"/>
          <w:sz w:val="24"/>
          <w:szCs w:val="24"/>
        </w:rPr>
        <w:t xml:space="preserve"> примечательна лучшей калибровкой (Loss Shortfall +0.04…+0.07, близко к нулю). </w:t>
      </w:r>
      <w:r w:rsidR="00561A4B" w:rsidRPr="00561A4B">
        <w:rPr>
          <w:rFonts w:ascii="Times New Roman" w:eastAsia="Aptos" w:hAnsi="Times New Roman" w:cs="Times New Roman"/>
          <w:sz w:val="24"/>
          <w:szCs w:val="24"/>
          <w:highlight w:val="yellow"/>
        </w:rPr>
        <w:t>Это делает её перспективной и практически значимой альтернативой сложным ансамблевым подходам в задачах банковского риск-менеджмента, особенно в условиях ограниченных данных</w:t>
      </w:r>
      <w:r w:rsidR="00561A4B" w:rsidRPr="00561A4B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="002722B2" w:rsidRPr="002722B2">
        <w:rPr>
          <w:rFonts w:ascii="Times New Roman" w:eastAsia="Aptos" w:hAnsi="Times New Roman" w:cs="Times New Roman"/>
          <w:sz w:val="24"/>
          <w:szCs w:val="24"/>
        </w:rPr>
        <w:t>Общая проблема завышения потерь (Loss Shortfall от –0.27 до –1.44) в сложных моделях требует пост-калибровки через масштабирование по взвешенной сумме для минимизации избыточных резервов без потери ранжирующей силы.</w:t>
      </w:r>
    </w:p>
    <w:p w14:paraId="71C2B23C" w14:textId="77777777" w:rsidR="002722B2" w:rsidRPr="002722B2" w:rsidRDefault="002722B2" w:rsidP="002722B2">
      <w:pPr>
        <w:tabs>
          <w:tab w:val="left" w:pos="2410"/>
        </w:tabs>
        <w:spacing w:after="0" w:line="240" w:lineRule="auto"/>
        <w:ind w:firstLine="397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722B2">
        <w:rPr>
          <w:rFonts w:ascii="Times New Roman" w:eastAsia="Aptos" w:hAnsi="Times New Roman" w:cs="Times New Roman"/>
          <w:b/>
          <w:bCs/>
          <w:sz w:val="24"/>
          <w:szCs w:val="24"/>
        </w:rPr>
        <w:t>Литература:</w:t>
      </w:r>
    </w:p>
    <w:p w14:paraId="553C9B1C" w14:textId="77777777" w:rsidR="002722B2" w:rsidRPr="002722B2" w:rsidRDefault="002722B2" w:rsidP="002722B2">
      <w:pPr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Basel Committee on Banking Supervision. Basel II: International convergence of capital measurement and capital standards // Bank for International Settlements. </w:t>
      </w:r>
      <w:r w:rsidRPr="002722B2">
        <w:rPr>
          <w:rFonts w:ascii="Times New Roman" w:eastAsia="Aptos" w:hAnsi="Times New Roman" w:cs="Times New Roman"/>
          <w:sz w:val="24"/>
          <w:szCs w:val="24"/>
        </w:rPr>
        <w:t>2006. P. 45.</w:t>
      </w:r>
    </w:p>
    <w:p w14:paraId="11176FFE" w14:textId="77777777" w:rsidR="002722B2" w:rsidRPr="002722B2" w:rsidRDefault="002722B2" w:rsidP="002722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  <w:highlight w:val="yellow"/>
          <w:lang w:val="en-US"/>
        </w:rPr>
      </w:pP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Fan M., Wu T.-H., Zhao Q. Assessing the Loss Given Default of Bank Loans Using the Hybrid Algorithms Multi-Stage Model // Systems. 2023. Vol. 11, No. 10. P. 505. DOI: </w:t>
      </w:r>
      <w:hyperlink r:id="rId5" w:history="1"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  <w:lang w:val="en-US"/>
          </w:rPr>
          <w:t>https://doi.org/10.3390/systems11100505</w:t>
        </w:r>
      </w:hyperlink>
    </w:p>
    <w:p w14:paraId="4B302F8D" w14:textId="77777777" w:rsidR="002722B2" w:rsidRPr="002722B2" w:rsidRDefault="002722B2" w:rsidP="002722B2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Банк России. Банковский сектор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III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 квартал 2025: Аналитический обзор. URL: </w:t>
      </w:r>
      <w:hyperlink r:id="rId6" w:history="1"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</w:rPr>
          <w:t>https://www.cbr.ru</w:t>
        </w:r>
      </w:hyperlink>
    </w:p>
    <w:p w14:paraId="129D0A9E" w14:textId="77777777" w:rsidR="002722B2" w:rsidRPr="002722B2" w:rsidRDefault="002722B2" w:rsidP="002722B2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Жевага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 xml:space="preserve"> А. А., Карминский А. М., Моргунов А. В., Серякова Е. В., Фокина Э. П. Моделирование в банковском деле и финансах / Под ред. А.М. </w:t>
      </w:r>
      <w:proofErr w:type="spellStart"/>
      <w:r w:rsidRPr="002722B2">
        <w:rPr>
          <w:rFonts w:ascii="Times New Roman" w:eastAsia="Aptos" w:hAnsi="Times New Roman" w:cs="Times New Roman"/>
          <w:sz w:val="24"/>
          <w:szCs w:val="24"/>
        </w:rPr>
        <w:t>Карминского</w:t>
      </w:r>
      <w:proofErr w:type="spellEnd"/>
      <w:r w:rsidRPr="002722B2">
        <w:rPr>
          <w:rFonts w:ascii="Times New Roman" w:eastAsia="Aptos" w:hAnsi="Times New Roman" w:cs="Times New Roman"/>
          <w:sz w:val="24"/>
          <w:szCs w:val="24"/>
        </w:rPr>
        <w:t xml:space="preserve"> - М.: ИНФРА-М, 2025, с.130-231.</w:t>
      </w:r>
    </w:p>
    <w:p w14:paraId="2DAD136F" w14:textId="77777777" w:rsidR="002722B2" w:rsidRPr="002722B2" w:rsidRDefault="002722B2" w:rsidP="002722B2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14" w:hanging="357"/>
        <w:contextualSpacing/>
        <w:jc w:val="both"/>
        <w:rPr>
          <w:rFonts w:ascii="Aptos" w:eastAsia="Aptos" w:hAnsi="Aptos" w:cs="Times New Roman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Положение Банка России от 02.11.2024 № 845-П. "О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риска" </w:t>
      </w:r>
      <w:r w:rsidRPr="002722B2">
        <w:rPr>
          <w:rFonts w:ascii="Times New Roman" w:eastAsia="Aptos" w:hAnsi="Times New Roman" w:cs="Times New Roman"/>
          <w:sz w:val="24"/>
          <w:szCs w:val="24"/>
          <w:lang w:val="en-US"/>
        </w:rPr>
        <w:t>URL</w:t>
      </w:r>
      <w:r w:rsidRPr="002722B2">
        <w:rPr>
          <w:rFonts w:ascii="Times New Roman" w:eastAsia="Aptos" w:hAnsi="Times New Roman" w:cs="Times New Roman"/>
          <w:sz w:val="24"/>
          <w:szCs w:val="24"/>
        </w:rPr>
        <w:t xml:space="preserve">: </w:t>
      </w:r>
      <w:hyperlink r:id="rId7" w:history="1"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  <w:lang w:val="en-US"/>
          </w:rPr>
          <w:t>https</w:t>
        </w:r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</w:rPr>
          <w:t>://</w:t>
        </w:r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  <w:lang w:val="en-US"/>
          </w:rPr>
          <w:t>www</w:t>
        </w:r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</w:rPr>
          <w:t>.</w:t>
        </w:r>
        <w:proofErr w:type="spellStart"/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  <w:lang w:val="en-US"/>
          </w:rPr>
          <w:t>cbr</w:t>
        </w:r>
        <w:proofErr w:type="spellEnd"/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</w:rPr>
          <w:t>.</w:t>
        </w:r>
        <w:proofErr w:type="spellStart"/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63CF6077" w14:textId="77777777" w:rsidR="002722B2" w:rsidRPr="002722B2" w:rsidRDefault="002722B2" w:rsidP="002722B2">
      <w:pPr>
        <w:numPr>
          <w:ilvl w:val="0"/>
          <w:numId w:val="1"/>
        </w:numPr>
        <w:tabs>
          <w:tab w:val="left" w:pos="241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722B2">
        <w:rPr>
          <w:rFonts w:ascii="Times New Roman" w:eastAsia="Aptos" w:hAnsi="Times New Roman" w:cs="Times New Roman"/>
          <w:sz w:val="24"/>
          <w:szCs w:val="24"/>
        </w:rPr>
        <w:t xml:space="preserve">Сетевое издание Информационный ресурс СПАРК. URL: </w:t>
      </w:r>
      <w:hyperlink r:id="rId8" w:history="1">
        <w:r w:rsidRPr="002722B2">
          <w:rPr>
            <w:rFonts w:ascii="Times New Roman" w:eastAsia="Aptos" w:hAnsi="Times New Roman" w:cs="Times New Roman"/>
            <w:color w:val="467886" w:themeColor="hyperlink"/>
            <w:sz w:val="24"/>
            <w:szCs w:val="24"/>
            <w:u w:val="single"/>
          </w:rPr>
          <w:t>https://spark-interfax.ru</w:t>
        </w:r>
      </w:hyperlink>
      <w:bookmarkStart w:id="0" w:name="_GoBack"/>
      <w:bookmarkEnd w:id="0"/>
    </w:p>
    <w:sectPr w:rsidR="002722B2" w:rsidRPr="002722B2" w:rsidSect="002722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76D7C"/>
    <w:multiLevelType w:val="hybridMultilevel"/>
    <w:tmpl w:val="E33A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B2"/>
    <w:rsid w:val="002722B2"/>
    <w:rsid w:val="00325C73"/>
    <w:rsid w:val="003D71EA"/>
    <w:rsid w:val="003E4F70"/>
    <w:rsid w:val="004515AC"/>
    <w:rsid w:val="00457AD8"/>
    <w:rsid w:val="00481234"/>
    <w:rsid w:val="00561A4B"/>
    <w:rsid w:val="00596479"/>
    <w:rsid w:val="005E2F9A"/>
    <w:rsid w:val="008B5C0E"/>
    <w:rsid w:val="00CB5253"/>
    <w:rsid w:val="00E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17D"/>
  <w15:chartTrackingRefBased/>
  <w15:docId w15:val="{19C769BA-9B9D-423B-B07B-F4E042C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AC"/>
  </w:style>
  <w:style w:type="paragraph" w:styleId="1">
    <w:name w:val="heading 1"/>
    <w:basedOn w:val="a"/>
    <w:next w:val="a"/>
    <w:link w:val="10"/>
    <w:uiPriority w:val="9"/>
    <w:qFormat/>
    <w:rsid w:val="00272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2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2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2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2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2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2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2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22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22B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2B2"/>
    <w:rPr>
      <w:color w:val="605E5C"/>
      <w:shd w:val="clear" w:color="auto" w:fill="E1DFDD"/>
    </w:rPr>
  </w:style>
  <w:style w:type="table" w:customStyle="1" w:styleId="23">
    <w:name w:val="Сетка таблицы2"/>
    <w:basedOn w:val="a1"/>
    <w:uiPriority w:val="39"/>
    <w:rsid w:val="002722B2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k-interfa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r.ru" TargetMode="External"/><Relationship Id="rId5" Type="http://schemas.openxmlformats.org/officeDocument/2006/relationships/hyperlink" Target="https://doi.org/10.3390/systems111005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Гусарова</dc:creator>
  <cp:keywords/>
  <dc:description/>
  <cp:lastModifiedBy>Казанцев Александр Петрович</cp:lastModifiedBy>
  <cp:revision>3</cp:revision>
  <dcterms:created xsi:type="dcterms:W3CDTF">2026-02-24T12:33:00Z</dcterms:created>
  <dcterms:modified xsi:type="dcterms:W3CDTF">2026-03-01T13:16:00Z</dcterms:modified>
</cp:coreProperties>
</file>