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9E" w:rsidRPr="00B91A9E" w:rsidRDefault="00B91A9E" w:rsidP="00B91A9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A9E">
        <w:rPr>
          <w:rFonts w:ascii="Times New Roman" w:hAnsi="Times New Roman" w:cs="Times New Roman"/>
          <w:b/>
          <w:bCs/>
          <w:sz w:val="28"/>
          <w:szCs w:val="28"/>
        </w:rPr>
        <w:t>Современные подходы к выявлению пузырей на фондовом рынке: от эконометрических тестов к машинному обучению</w:t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>Современные финансовые рынки характеризуются высокой волатильностью, ускорением информационных потоков и ростом доли розничных инвесторов, что усиливает риск формирования ценовых пузырей и последующих резких коррекций. На фоне череды глобальных и локальных финансовых кризисов задача своевременного выявления пузырей на фондовом рынке сохраняет ключевое значение как для регуляторов и эмитентов, так и для институциональных и частных инвесторов. В этих условиях интерес представляют гибридные подходы, сочетающие строгий эконометрический аппарат с инструментами машинного обучения.</w:t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 xml:space="preserve">Цель работы </w:t>
      </w:r>
      <w:r w:rsidR="00C87E34">
        <w:rPr>
          <w:rFonts w:ascii="Times New Roman" w:hAnsi="Times New Roman" w:cs="Times New Roman"/>
          <w:sz w:val="28"/>
          <w:szCs w:val="28"/>
        </w:rPr>
        <w:t xml:space="preserve">– </w:t>
      </w:r>
      <w:r w:rsidRPr="00FE5291">
        <w:rPr>
          <w:rFonts w:ascii="Times New Roman" w:hAnsi="Times New Roman" w:cs="Times New Roman"/>
          <w:sz w:val="28"/>
          <w:szCs w:val="28"/>
        </w:rPr>
        <w:t>провести анализ современных гибридных методов идентификации ценовых пузырей на фондовом рынке, проследив эволюцию от классических эконометрических тестов к интеграции с алгоритмами машинного обучения, а также выявить их методологические преимущества и ограничения для применения на развивающихся рынках.</w:t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 xml:space="preserve">В теоретической части исследования обсуждаются основные трактовки пузырей в финансовой теории (спекулятивные, рациональные, поведенческие пузыри) и классические инструменты их диагностики: тесты на наличие единичного корня и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коинтеграции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>, процедуры обнаружения «взрывного» поведения цен (SADF/GSADF‑подходы), модели лог‑периодического степенного закона, а также индикаторы, основанные на анализе волатильности и отклонений цен от фундаментально обоснованных значений.</w:t>
      </w:r>
      <w:r w:rsidR="00624CD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624CD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624CD2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624CD2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FE5291">
        <w:rPr>
          <w:rFonts w:ascii="Times New Roman" w:hAnsi="Times New Roman" w:cs="Times New Roman"/>
          <w:sz w:val="28"/>
          <w:szCs w:val="28"/>
        </w:rPr>
        <w:t xml:space="preserve"> Показано, что несмотря на разработанность эконометрического инструментария, его применение на практике сталкивается с рядом ограничений: </w:t>
      </w:r>
      <w:r w:rsidRPr="00FE5291">
        <w:rPr>
          <w:rFonts w:ascii="Times New Roman" w:hAnsi="Times New Roman" w:cs="Times New Roman"/>
          <w:sz w:val="28"/>
          <w:szCs w:val="28"/>
        </w:rPr>
        <w:lastRenderedPageBreak/>
        <w:t>чувствительностью к выбору временного окна и спецификации модели, сложностью корректного учета структурных сдвигов и изменчивости режимов, а также трудностями интерпретации результатов в условиях неполных или зашумленных данных.</w:t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 xml:space="preserve">Далее рассматриваются подходы, основанные на машинном обучении, которые трактуют задачу выявления пузырей как проблему классификации рыночных режимов, обнаружения аномалий или анализа временных последовательностей. В литературе представлены примеры использования деревьев решений и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бустинга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 xml:space="preserve"> для классификации «пузырь/не пузырь», нейронных сетей для прогнозирования режимных переключений, а также методов неконтролируемого обучения для выделения нетривиальных кластеров ценовой динамики.</w:t>
      </w:r>
      <w:r w:rsidR="00860FA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860FA0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860FA0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FE5291">
        <w:rPr>
          <w:rFonts w:ascii="Times New Roman" w:hAnsi="Times New Roman" w:cs="Times New Roman"/>
          <w:sz w:val="28"/>
          <w:szCs w:val="28"/>
        </w:rPr>
        <w:t xml:space="preserve"> При этом подчеркивается, что преимущества машинного обучения</w:t>
      </w:r>
      <w:r w:rsidR="00C3605E" w:rsidRPr="00C3605E">
        <w:rPr>
          <w:rFonts w:ascii="Times New Roman" w:hAnsi="Times New Roman" w:cs="Times New Roman"/>
          <w:sz w:val="28"/>
          <w:szCs w:val="28"/>
        </w:rPr>
        <w:t xml:space="preserve"> (</w:t>
      </w:r>
      <w:r w:rsidRPr="00FE5291">
        <w:rPr>
          <w:rFonts w:ascii="Times New Roman" w:hAnsi="Times New Roman" w:cs="Times New Roman"/>
          <w:sz w:val="28"/>
          <w:szCs w:val="28"/>
        </w:rPr>
        <w:t xml:space="preserve">гибкость в работе с нелинейностями и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высокоразмерными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 xml:space="preserve"> признаковыми пространствами</w:t>
      </w:r>
      <w:r w:rsidR="00C3605E" w:rsidRPr="00C3605E">
        <w:rPr>
          <w:rFonts w:ascii="Times New Roman" w:hAnsi="Times New Roman" w:cs="Times New Roman"/>
          <w:sz w:val="28"/>
          <w:szCs w:val="28"/>
        </w:rPr>
        <w:t>)</w:t>
      </w:r>
      <w:r w:rsidRPr="00FE5291">
        <w:rPr>
          <w:rFonts w:ascii="Times New Roman" w:hAnsi="Times New Roman" w:cs="Times New Roman"/>
          <w:sz w:val="28"/>
          <w:szCs w:val="28"/>
        </w:rPr>
        <w:t xml:space="preserve"> сочетаются с риском переобучения, дефицитом надежных разметок «пузырей» и проблемой интерпретируемости получаемых результатов.</w:t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 xml:space="preserve">Особое внимание в работе уделяется именно гибридным стратегиям, в которых эконометрические тесты и модели выступают либо источником экономически осмысленных признаков, либо инструментом предварительного отбора данных, либо «эталоном» для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 xml:space="preserve"> результатов машинного обучения. Выделяются несколько типичных конфигураций таких подходов. Во‑первых, двухэтапные схемы, где на первом этапе при помощи тестов на «взрывное» поведение и оценок фундаментальной стоимости формируются индикаторы</w:t>
      </w:r>
      <w:r w:rsidR="00B65343">
        <w:rPr>
          <w:rFonts w:ascii="Times New Roman" w:hAnsi="Times New Roman" w:cs="Times New Roman"/>
          <w:sz w:val="28"/>
          <w:szCs w:val="28"/>
        </w:rPr>
        <w:t xml:space="preserve"> </w:t>
      </w:r>
      <w:r w:rsidRPr="00FE5291">
        <w:rPr>
          <w:rFonts w:ascii="Times New Roman" w:hAnsi="Times New Roman" w:cs="Times New Roman"/>
          <w:sz w:val="28"/>
          <w:szCs w:val="28"/>
        </w:rPr>
        <w:t xml:space="preserve">перегрева рынка, а на втором </w:t>
      </w:r>
      <w:r w:rsidR="00B65343">
        <w:rPr>
          <w:rFonts w:ascii="Times New Roman" w:hAnsi="Times New Roman" w:cs="Times New Roman"/>
          <w:sz w:val="28"/>
          <w:szCs w:val="28"/>
        </w:rPr>
        <w:t>–</w:t>
      </w:r>
      <w:r w:rsidRPr="00FE5291">
        <w:rPr>
          <w:rFonts w:ascii="Times New Roman" w:hAnsi="Times New Roman" w:cs="Times New Roman"/>
          <w:sz w:val="28"/>
          <w:szCs w:val="28"/>
        </w:rPr>
        <w:t xml:space="preserve"> алгоритмы машинного обучения обучаются распознавать сложные комбинации этих индикаторов и рыночных </w:t>
      </w:r>
      <w:r w:rsidRPr="00FE5291">
        <w:rPr>
          <w:rFonts w:ascii="Times New Roman" w:hAnsi="Times New Roman" w:cs="Times New Roman"/>
          <w:sz w:val="28"/>
          <w:szCs w:val="28"/>
        </w:rPr>
        <w:lastRenderedPageBreak/>
        <w:t>характеристик.</w:t>
      </w:r>
      <w:r w:rsidR="000A5C43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0A5C43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FE5291">
        <w:rPr>
          <w:rFonts w:ascii="Times New Roman" w:hAnsi="Times New Roman" w:cs="Times New Roman"/>
          <w:sz w:val="28"/>
          <w:szCs w:val="28"/>
        </w:rPr>
        <w:t xml:space="preserve"> Во‑вторых, ансамблевые и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стеккинговые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 xml:space="preserve"> модели, в которых выходы нескольких эконометрических процедур совместно подаются на вход обучаемой модели, позволяя агрегировать разнородную информацию о рыночной динамике.</w:t>
      </w:r>
      <w:r w:rsidR="00B91A9E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FE5291">
        <w:rPr>
          <w:rFonts w:ascii="Times New Roman" w:hAnsi="Times New Roman" w:cs="Times New Roman"/>
          <w:sz w:val="28"/>
          <w:szCs w:val="28"/>
        </w:rPr>
        <w:t xml:space="preserve"> В‑третьих, подходы, ориентированные на интерпретируемость, где методы машинного обучения используются преимущественно для ранжирования факторов и выявления нелинейных эффектов, в то время как выводы по наличию пузыря формулируются на основе эконометрических критериев.</w:t>
      </w:r>
      <w:r w:rsidR="00B91A9E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FE5291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>Проведенный обзор показывает, что гибридные решения особенно перспективны для рынков с ограниченной историей наблюдений, низкой ликвидностью и частыми структурными сдвигами, к которым относится и российский фондовый рынок.</w:t>
      </w:r>
      <w:r w:rsidR="000A5C43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FE5291">
        <w:rPr>
          <w:rFonts w:ascii="Times New Roman" w:hAnsi="Times New Roman" w:cs="Times New Roman"/>
          <w:sz w:val="28"/>
          <w:szCs w:val="28"/>
        </w:rPr>
        <w:t xml:space="preserve"> </w:t>
      </w:r>
      <w:r w:rsidR="00385FDE">
        <w:rPr>
          <w:rFonts w:ascii="Times New Roman" w:hAnsi="Times New Roman" w:cs="Times New Roman"/>
          <w:sz w:val="28"/>
          <w:szCs w:val="28"/>
        </w:rPr>
        <w:t xml:space="preserve">Применимость и эффективность использованных методов и моделей была проверена на аналитических отчетностях Российских технологических компаний. </w:t>
      </w:r>
      <w:bookmarkStart w:id="0" w:name="_GoBack"/>
      <w:bookmarkEnd w:id="0"/>
      <w:r w:rsidRPr="00FE5291">
        <w:rPr>
          <w:rFonts w:ascii="Times New Roman" w:hAnsi="Times New Roman" w:cs="Times New Roman"/>
          <w:sz w:val="28"/>
          <w:szCs w:val="28"/>
        </w:rPr>
        <w:t xml:space="preserve">В таких условиях строгая опора на классические предпосылки (стационарность, стабильность параметров, отсутствие резких изменений институциональной среды) зачастую нереалистична, тогда как комбинация </w:t>
      </w:r>
      <w:proofErr w:type="spellStart"/>
      <w:r w:rsidRPr="00FE5291">
        <w:rPr>
          <w:rFonts w:ascii="Times New Roman" w:hAnsi="Times New Roman" w:cs="Times New Roman"/>
          <w:sz w:val="28"/>
          <w:szCs w:val="28"/>
        </w:rPr>
        <w:t>эконометрически</w:t>
      </w:r>
      <w:proofErr w:type="spellEnd"/>
      <w:r w:rsidRPr="00FE5291">
        <w:rPr>
          <w:rFonts w:ascii="Times New Roman" w:hAnsi="Times New Roman" w:cs="Times New Roman"/>
          <w:sz w:val="28"/>
          <w:szCs w:val="28"/>
        </w:rPr>
        <w:t xml:space="preserve"> обоснованных индикаторов с адаптивными алгоритмами машинного обучения позволяет лучше учитывать режимные переключения и нелинейные эффекты.</w:t>
      </w:r>
      <w:r w:rsidR="000A5C43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FE5291">
        <w:rPr>
          <w:rFonts w:ascii="Times New Roman" w:hAnsi="Times New Roman" w:cs="Times New Roman"/>
          <w:sz w:val="28"/>
          <w:szCs w:val="28"/>
        </w:rPr>
        <w:t xml:space="preserve"> Вместе с тем подчеркивается необходимость сохранения </w:t>
      </w:r>
      <w:r w:rsidRPr="00FE5291">
        <w:rPr>
          <w:rFonts w:ascii="Times New Roman" w:hAnsi="Times New Roman" w:cs="Times New Roman"/>
          <w:sz w:val="28"/>
          <w:szCs w:val="28"/>
        </w:rPr>
        <w:lastRenderedPageBreak/>
        <w:t>экономического содержания при конструировании признаков и интерпретации результатов моделей, чтобы избежать «черного ящика», не пригодного для обоснования регуляторных решений и инвестиционных стратегий.</w:t>
      </w:r>
    </w:p>
    <w:p w:rsidR="00322FB7" w:rsidRPr="00FE5291" w:rsidRDefault="00FE5291" w:rsidP="00C87E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291">
        <w:rPr>
          <w:rFonts w:ascii="Times New Roman" w:hAnsi="Times New Roman" w:cs="Times New Roman"/>
          <w:sz w:val="28"/>
          <w:szCs w:val="28"/>
        </w:rPr>
        <w:t>Научная новизна работы носит методологический характер и заключается в разработке классификации гибридных подходов к выявлению пузырей на фондовом рынке, а также в формулировании набора принципов их построения для развивающихся рынков</w:t>
      </w:r>
      <w:r w:rsidR="00B91A9E">
        <w:rPr>
          <w:rFonts w:ascii="Times New Roman" w:hAnsi="Times New Roman" w:cs="Times New Roman"/>
          <w:sz w:val="28"/>
          <w:szCs w:val="28"/>
        </w:rPr>
        <w:t xml:space="preserve"> исходя из</w:t>
      </w:r>
      <w:r w:rsidRPr="00FE5291">
        <w:rPr>
          <w:rFonts w:ascii="Times New Roman" w:hAnsi="Times New Roman" w:cs="Times New Roman"/>
          <w:sz w:val="28"/>
          <w:szCs w:val="28"/>
        </w:rPr>
        <w:t xml:space="preserve"> приоритета экономически интерпретируемых индикаторов, явной связи с гипотезами о наличии пузыря, учета особенностей доступных данных. На основе проведенного анализа намечаются направления дальнейших количественных исследований, включая эмпирическую проверку эффективности конкретных гибридных конфигураций применительно к российскому фондовому рынку.</w:t>
      </w:r>
    </w:p>
    <w:sectPr w:rsidR="00322FB7" w:rsidRPr="00FE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F3" w:rsidRDefault="00CC2BF3" w:rsidP="00624CD2">
      <w:r>
        <w:separator/>
      </w:r>
    </w:p>
  </w:endnote>
  <w:endnote w:type="continuationSeparator" w:id="0">
    <w:p w:rsidR="00CC2BF3" w:rsidRDefault="00CC2BF3" w:rsidP="0062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F3" w:rsidRDefault="00CC2BF3" w:rsidP="00624CD2">
      <w:r>
        <w:separator/>
      </w:r>
    </w:p>
  </w:footnote>
  <w:footnote w:type="continuationSeparator" w:id="0">
    <w:p w:rsidR="00CC2BF3" w:rsidRDefault="00CC2BF3" w:rsidP="00624CD2">
      <w:r>
        <w:continuationSeparator/>
      </w:r>
    </w:p>
  </w:footnote>
  <w:footnote w:id="1">
    <w:p w:rsidR="00624CD2" w:rsidRPr="00624CD2" w:rsidRDefault="00624CD2" w:rsidP="00624CD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24CD2">
        <w:rPr>
          <w:rStyle w:val="a5"/>
          <w:rFonts w:ascii="Times New Roman" w:hAnsi="Times New Roman" w:cs="Times New Roman"/>
        </w:rPr>
        <w:footnoteRef/>
      </w:r>
      <w:r w:rsidRPr="00624CD2">
        <w:rPr>
          <w:rFonts w:ascii="Times New Roman" w:hAnsi="Times New Roman" w:cs="Times New Roman"/>
          <w:lang w:val="en-US"/>
        </w:rPr>
        <w:t xml:space="preserve"> Blanchard O. J., Watson M. W. Bubbles, Rational Expectations and Financial Markets // Crises in the Economic and Financial Structure / ed. by P. </w:t>
      </w:r>
      <w:proofErr w:type="spellStart"/>
      <w:r w:rsidRPr="00624CD2">
        <w:rPr>
          <w:rFonts w:ascii="Times New Roman" w:hAnsi="Times New Roman" w:cs="Times New Roman"/>
          <w:lang w:val="en-US"/>
        </w:rPr>
        <w:t>Wachtel</w:t>
      </w:r>
      <w:proofErr w:type="spellEnd"/>
      <w:r w:rsidRPr="00624CD2">
        <w:rPr>
          <w:rFonts w:ascii="Times New Roman" w:hAnsi="Times New Roman" w:cs="Times New Roman"/>
          <w:lang w:val="en-US"/>
        </w:rPr>
        <w:t>. – Lexington: Lexington Books, 1982. – P. 295–315.</w:t>
      </w:r>
    </w:p>
  </w:footnote>
  <w:footnote w:id="2">
    <w:p w:rsidR="00624CD2" w:rsidRPr="00624CD2" w:rsidRDefault="00624CD2" w:rsidP="00624CD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24CD2">
        <w:rPr>
          <w:rStyle w:val="a5"/>
          <w:rFonts w:ascii="Times New Roman" w:hAnsi="Times New Roman" w:cs="Times New Roman"/>
        </w:rPr>
        <w:footnoteRef/>
      </w:r>
      <w:r w:rsidRPr="00624CD2">
        <w:rPr>
          <w:rFonts w:ascii="Times New Roman" w:hAnsi="Times New Roman" w:cs="Times New Roman"/>
          <w:lang w:val="en-US"/>
        </w:rPr>
        <w:t xml:space="preserve"> Phillips P. C. B., Shi S., Yu J. Testing for Multiple Bubbles: Historical Episodes of Exuberance and Collapse in the S&amp;P 500 // International Economic Review. – 2015. – Vol. 56, No. 4. – P. 1043–1078.</w:t>
      </w:r>
    </w:p>
  </w:footnote>
  <w:footnote w:id="3">
    <w:p w:rsidR="00624CD2" w:rsidRPr="00624CD2" w:rsidRDefault="00624CD2" w:rsidP="00624CD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24CD2">
        <w:rPr>
          <w:rStyle w:val="a5"/>
          <w:rFonts w:ascii="Times New Roman" w:hAnsi="Times New Roman" w:cs="Times New Roman"/>
        </w:rPr>
        <w:footnoteRef/>
      </w:r>
      <w:r w:rsidRPr="00624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4CD2">
        <w:rPr>
          <w:rFonts w:ascii="Times New Roman" w:hAnsi="Times New Roman" w:cs="Times New Roman"/>
          <w:lang w:val="en-US"/>
        </w:rPr>
        <w:t>Sornette</w:t>
      </w:r>
      <w:proofErr w:type="spellEnd"/>
      <w:r w:rsidRPr="00624CD2">
        <w:rPr>
          <w:rFonts w:ascii="Times New Roman" w:hAnsi="Times New Roman" w:cs="Times New Roman"/>
          <w:lang w:val="en-US"/>
        </w:rPr>
        <w:t xml:space="preserve"> D. Why Stock Markets Crash: Critical Events in Complex Financial Systems. – Princeton: Princeton University Press, 2003. – 448 p.</w:t>
      </w:r>
    </w:p>
  </w:footnote>
  <w:footnote w:id="4">
    <w:p w:rsidR="00624CD2" w:rsidRPr="00624CD2" w:rsidRDefault="00624CD2" w:rsidP="00624CD2">
      <w:pPr>
        <w:pStyle w:val="a3"/>
        <w:jc w:val="both"/>
        <w:rPr>
          <w:lang w:val="en-US"/>
        </w:rPr>
      </w:pPr>
      <w:r w:rsidRPr="00624CD2">
        <w:rPr>
          <w:rStyle w:val="a5"/>
          <w:rFonts w:ascii="Times New Roman" w:hAnsi="Times New Roman" w:cs="Times New Roman"/>
        </w:rPr>
        <w:footnoteRef/>
      </w:r>
      <w:r w:rsidRPr="00624CD2">
        <w:rPr>
          <w:rFonts w:ascii="Times New Roman" w:hAnsi="Times New Roman" w:cs="Times New Roman"/>
          <w:lang w:val="en-US"/>
        </w:rPr>
        <w:t xml:space="preserve"> Shiller R. J. Do Stock Prices Move Too Much to be Justified by Subsequent Changes in Dividends? // American Economic Review. – 1981. – Vol. 71, No. 3. – P. 421–436.</w:t>
      </w:r>
    </w:p>
  </w:footnote>
  <w:footnote w:id="5">
    <w:p w:rsidR="00860FA0" w:rsidRPr="00860FA0" w:rsidRDefault="00860FA0" w:rsidP="00860FA0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60FA0">
        <w:rPr>
          <w:rStyle w:val="a5"/>
          <w:rFonts w:ascii="Times New Roman" w:hAnsi="Times New Roman" w:cs="Times New Roman"/>
        </w:rPr>
        <w:footnoteRef/>
      </w:r>
      <w:r w:rsidRPr="00860F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0FA0">
        <w:rPr>
          <w:rFonts w:ascii="Times New Roman" w:hAnsi="Times New Roman" w:cs="Times New Roman"/>
          <w:lang w:val="en-US"/>
        </w:rPr>
        <w:t>Atsiwo</w:t>
      </w:r>
      <w:proofErr w:type="spellEnd"/>
      <w:r w:rsidRPr="00860FA0">
        <w:rPr>
          <w:rFonts w:ascii="Times New Roman" w:hAnsi="Times New Roman" w:cs="Times New Roman"/>
          <w:lang w:val="en-US"/>
        </w:rPr>
        <w:t xml:space="preserve"> A. A three-step machine learning approach to predict market bubbles with financial news [</w:t>
      </w:r>
      <w:r w:rsidRPr="00860FA0">
        <w:rPr>
          <w:rFonts w:ascii="Times New Roman" w:hAnsi="Times New Roman" w:cs="Times New Roman"/>
        </w:rPr>
        <w:t>Электронный</w:t>
      </w:r>
      <w:r w:rsidRPr="00860FA0">
        <w:rPr>
          <w:rFonts w:ascii="Times New Roman" w:hAnsi="Times New Roman" w:cs="Times New Roman"/>
          <w:lang w:val="en-US"/>
        </w:rPr>
        <w:t xml:space="preserve"> </w:t>
      </w:r>
      <w:r w:rsidRPr="00860FA0">
        <w:rPr>
          <w:rFonts w:ascii="Times New Roman" w:hAnsi="Times New Roman" w:cs="Times New Roman"/>
        </w:rPr>
        <w:t>ресурс</w:t>
      </w:r>
      <w:r w:rsidRPr="00860FA0">
        <w:rPr>
          <w:rFonts w:ascii="Times New Roman" w:hAnsi="Times New Roman" w:cs="Times New Roman"/>
          <w:lang w:val="en-US"/>
        </w:rPr>
        <w:t xml:space="preserve">] / A. </w:t>
      </w:r>
      <w:proofErr w:type="spellStart"/>
      <w:r w:rsidRPr="00860FA0">
        <w:rPr>
          <w:rFonts w:ascii="Times New Roman" w:hAnsi="Times New Roman" w:cs="Times New Roman"/>
          <w:lang w:val="en-US"/>
        </w:rPr>
        <w:t>Atsiwo</w:t>
      </w:r>
      <w:proofErr w:type="spellEnd"/>
      <w:r w:rsidRPr="00860FA0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860FA0">
        <w:rPr>
          <w:rFonts w:ascii="Times New Roman" w:hAnsi="Times New Roman" w:cs="Times New Roman"/>
          <w:lang w:val="en-US"/>
        </w:rPr>
        <w:t>arXiv</w:t>
      </w:r>
      <w:proofErr w:type="spellEnd"/>
      <w:r w:rsidRPr="00860FA0">
        <w:rPr>
          <w:rFonts w:ascii="Times New Roman" w:hAnsi="Times New Roman" w:cs="Times New Roman"/>
          <w:lang w:val="en-US"/>
        </w:rPr>
        <w:t>. – 2025. – arXiv:2510.16636. – URL: https://arxiv.org/abs/2510.16636 (</w:t>
      </w:r>
      <w:r w:rsidRPr="00860FA0">
        <w:rPr>
          <w:rFonts w:ascii="Times New Roman" w:hAnsi="Times New Roman" w:cs="Times New Roman"/>
        </w:rPr>
        <w:t>дата</w:t>
      </w:r>
      <w:r w:rsidRPr="00860FA0">
        <w:rPr>
          <w:rFonts w:ascii="Times New Roman" w:hAnsi="Times New Roman" w:cs="Times New Roman"/>
          <w:lang w:val="en-US"/>
        </w:rPr>
        <w:t xml:space="preserve"> </w:t>
      </w:r>
      <w:r w:rsidRPr="00860FA0">
        <w:rPr>
          <w:rFonts w:ascii="Times New Roman" w:hAnsi="Times New Roman" w:cs="Times New Roman"/>
        </w:rPr>
        <w:t>обращения</w:t>
      </w:r>
      <w:r w:rsidRPr="00860FA0">
        <w:rPr>
          <w:rFonts w:ascii="Times New Roman" w:hAnsi="Times New Roman" w:cs="Times New Roman"/>
          <w:lang w:val="en-US"/>
        </w:rPr>
        <w:t>: 22.02.2026). – DOI: 10.48550/arXiv.2510.16636.</w:t>
      </w:r>
    </w:p>
  </w:footnote>
  <w:footnote w:id="6">
    <w:p w:rsidR="00860FA0" w:rsidRPr="00860FA0" w:rsidRDefault="00860FA0" w:rsidP="00860FA0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60FA0">
        <w:rPr>
          <w:rStyle w:val="a5"/>
          <w:rFonts w:ascii="Times New Roman" w:hAnsi="Times New Roman" w:cs="Times New Roman"/>
        </w:rPr>
        <w:footnoteRef/>
      </w:r>
      <w:r w:rsidRPr="00860F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0FA0">
        <w:rPr>
          <w:rFonts w:ascii="Times New Roman" w:hAnsi="Times New Roman" w:cs="Times New Roman"/>
          <w:lang w:val="en-US"/>
        </w:rPr>
        <w:t>Bashchenko</w:t>
      </w:r>
      <w:proofErr w:type="spellEnd"/>
      <w:r w:rsidRPr="00860FA0">
        <w:rPr>
          <w:rFonts w:ascii="Times New Roman" w:hAnsi="Times New Roman" w:cs="Times New Roman"/>
          <w:lang w:val="en-US"/>
        </w:rPr>
        <w:t xml:space="preserve"> O. Deep Learning for Asset Bubbles Detection [</w:t>
      </w:r>
      <w:r w:rsidRPr="00860FA0">
        <w:rPr>
          <w:rFonts w:ascii="Times New Roman" w:hAnsi="Times New Roman" w:cs="Times New Roman"/>
        </w:rPr>
        <w:t>Электронный</w:t>
      </w:r>
      <w:r w:rsidRPr="00860FA0">
        <w:rPr>
          <w:rFonts w:ascii="Times New Roman" w:hAnsi="Times New Roman" w:cs="Times New Roman"/>
          <w:lang w:val="en-US"/>
        </w:rPr>
        <w:t xml:space="preserve"> </w:t>
      </w:r>
      <w:r w:rsidRPr="00860FA0">
        <w:rPr>
          <w:rFonts w:ascii="Times New Roman" w:hAnsi="Times New Roman" w:cs="Times New Roman"/>
        </w:rPr>
        <w:t>ресурс</w:t>
      </w:r>
      <w:r w:rsidRPr="00860FA0">
        <w:rPr>
          <w:rFonts w:ascii="Times New Roman" w:hAnsi="Times New Roman" w:cs="Times New Roman"/>
          <w:lang w:val="en-US"/>
        </w:rPr>
        <w:t xml:space="preserve">] / O. </w:t>
      </w:r>
      <w:proofErr w:type="spellStart"/>
      <w:r w:rsidRPr="00860FA0">
        <w:rPr>
          <w:rFonts w:ascii="Times New Roman" w:hAnsi="Times New Roman" w:cs="Times New Roman"/>
          <w:lang w:val="en-US"/>
        </w:rPr>
        <w:t>Bashchenko</w:t>
      </w:r>
      <w:proofErr w:type="spellEnd"/>
      <w:r w:rsidRPr="00860FA0">
        <w:rPr>
          <w:rFonts w:ascii="Times New Roman" w:hAnsi="Times New Roman" w:cs="Times New Roman"/>
          <w:lang w:val="en-US"/>
        </w:rPr>
        <w:t xml:space="preserve">, A. </w:t>
      </w:r>
      <w:proofErr w:type="spellStart"/>
      <w:r w:rsidRPr="00860FA0">
        <w:rPr>
          <w:rFonts w:ascii="Times New Roman" w:hAnsi="Times New Roman" w:cs="Times New Roman"/>
          <w:lang w:val="en-US"/>
        </w:rPr>
        <w:t>Marchal</w:t>
      </w:r>
      <w:proofErr w:type="spellEnd"/>
      <w:r w:rsidRPr="00860FA0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860FA0">
        <w:rPr>
          <w:rFonts w:ascii="Times New Roman" w:hAnsi="Times New Roman" w:cs="Times New Roman"/>
          <w:lang w:val="en-US"/>
        </w:rPr>
        <w:t>arXiv</w:t>
      </w:r>
      <w:proofErr w:type="spellEnd"/>
      <w:r w:rsidRPr="00860FA0">
        <w:rPr>
          <w:rFonts w:ascii="Times New Roman" w:hAnsi="Times New Roman" w:cs="Times New Roman"/>
          <w:lang w:val="en-US"/>
        </w:rPr>
        <w:t>. – 2020. – arXiv:2002.06405. – URL: https://arxiv.org/abs/2002.06405 (</w:t>
      </w:r>
      <w:r w:rsidRPr="00860FA0">
        <w:rPr>
          <w:rFonts w:ascii="Times New Roman" w:hAnsi="Times New Roman" w:cs="Times New Roman"/>
        </w:rPr>
        <w:t>дата</w:t>
      </w:r>
      <w:r w:rsidRPr="00860FA0">
        <w:rPr>
          <w:rFonts w:ascii="Times New Roman" w:hAnsi="Times New Roman" w:cs="Times New Roman"/>
          <w:lang w:val="en-US"/>
        </w:rPr>
        <w:t xml:space="preserve"> </w:t>
      </w:r>
      <w:r w:rsidRPr="00860FA0">
        <w:rPr>
          <w:rFonts w:ascii="Times New Roman" w:hAnsi="Times New Roman" w:cs="Times New Roman"/>
        </w:rPr>
        <w:t>обращения</w:t>
      </w:r>
      <w:r w:rsidRPr="00860FA0">
        <w:rPr>
          <w:rFonts w:ascii="Times New Roman" w:hAnsi="Times New Roman" w:cs="Times New Roman"/>
          <w:lang w:val="en-US"/>
        </w:rPr>
        <w:t>: 24.02.2026). – DOI: 10.48550/arXiv.2002.06405.</w:t>
      </w:r>
    </w:p>
  </w:footnote>
  <w:footnote w:id="7">
    <w:p w:rsidR="00860FA0" w:rsidRPr="00860FA0" w:rsidRDefault="00860FA0" w:rsidP="00860FA0">
      <w:pPr>
        <w:pStyle w:val="a3"/>
        <w:jc w:val="both"/>
        <w:rPr>
          <w:lang w:val="en-US"/>
        </w:rPr>
      </w:pPr>
      <w:r w:rsidRPr="00860FA0">
        <w:rPr>
          <w:rStyle w:val="a5"/>
          <w:rFonts w:ascii="Times New Roman" w:hAnsi="Times New Roman" w:cs="Times New Roman"/>
        </w:rPr>
        <w:footnoteRef/>
      </w:r>
      <w:r w:rsidRPr="00860FA0">
        <w:rPr>
          <w:rFonts w:ascii="Times New Roman" w:hAnsi="Times New Roman" w:cs="Times New Roman"/>
          <w:lang w:val="en-US"/>
        </w:rPr>
        <w:t xml:space="preserve"> An S. Early warning of regime switching in a complex financial system from a spillover network dynamic perspective / S. An, X. Gao, F. An, T. Wu // </w:t>
      </w:r>
      <w:proofErr w:type="spellStart"/>
      <w:r w:rsidRPr="00860FA0">
        <w:rPr>
          <w:rFonts w:ascii="Times New Roman" w:hAnsi="Times New Roman" w:cs="Times New Roman"/>
          <w:lang w:val="en-US"/>
        </w:rPr>
        <w:t>iScience</w:t>
      </w:r>
      <w:proofErr w:type="spellEnd"/>
      <w:r w:rsidRPr="00860FA0">
        <w:rPr>
          <w:rFonts w:ascii="Times New Roman" w:hAnsi="Times New Roman" w:cs="Times New Roman"/>
          <w:lang w:val="en-US"/>
        </w:rPr>
        <w:t>. – 2025. – Vol. 28, No. 3. – Art. 111924. – DOI: 10.1016/j.isci.2025.111924.</w:t>
      </w:r>
    </w:p>
  </w:footnote>
  <w:footnote w:id="8">
    <w:p w:rsidR="000A5C43" w:rsidRPr="00B91A9E" w:rsidRDefault="000A5C43" w:rsidP="00B91A9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A5C43">
        <w:rPr>
          <w:rStyle w:val="a5"/>
          <w:rFonts w:ascii="Times New Roman" w:hAnsi="Times New Roman" w:cs="Times New Roman"/>
        </w:rPr>
        <w:footnoteRef/>
      </w:r>
      <w:r w:rsidRPr="000A5C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A9E">
        <w:rPr>
          <w:rFonts w:ascii="Times New Roman" w:hAnsi="Times New Roman" w:cs="Times New Roman"/>
          <w:lang w:val="en-US"/>
        </w:rPr>
        <w:t>Başoğlu</w:t>
      </w:r>
      <w:proofErr w:type="spellEnd"/>
      <w:r w:rsidRPr="00B91A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A9E">
        <w:rPr>
          <w:rFonts w:ascii="Times New Roman" w:hAnsi="Times New Roman" w:cs="Times New Roman"/>
          <w:lang w:val="en-US"/>
        </w:rPr>
        <w:t>Kabran</w:t>
      </w:r>
      <w:proofErr w:type="spellEnd"/>
      <w:r w:rsidRPr="00B91A9E">
        <w:rPr>
          <w:rFonts w:ascii="Times New Roman" w:hAnsi="Times New Roman" w:cs="Times New Roman"/>
          <w:lang w:val="en-US"/>
        </w:rPr>
        <w:t xml:space="preserve"> F., </w:t>
      </w:r>
      <w:proofErr w:type="spellStart"/>
      <w:r w:rsidRPr="00B91A9E">
        <w:rPr>
          <w:rFonts w:ascii="Times New Roman" w:hAnsi="Times New Roman" w:cs="Times New Roman"/>
          <w:lang w:val="en-US"/>
        </w:rPr>
        <w:t>Ünlü</w:t>
      </w:r>
      <w:proofErr w:type="spellEnd"/>
      <w:r w:rsidRPr="00B91A9E">
        <w:rPr>
          <w:rFonts w:ascii="Times New Roman" w:hAnsi="Times New Roman" w:cs="Times New Roman"/>
          <w:lang w:val="en-US"/>
        </w:rPr>
        <w:t xml:space="preserve"> K.D. A two-step machine learning approach to predict S&amp;P 500 bubbles // Journal of Applied Statistics.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2021.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Vol. 48.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No. 13–15.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P. 2776–2794.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DOI: 10.1080/02664763.2020.1823947.</w:t>
      </w:r>
    </w:p>
  </w:footnote>
  <w:footnote w:id="9">
    <w:p w:rsidR="000A5C43" w:rsidRPr="00B91A9E" w:rsidRDefault="000A5C43" w:rsidP="00B91A9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91A9E">
        <w:rPr>
          <w:rStyle w:val="a5"/>
          <w:rFonts w:ascii="Times New Roman" w:hAnsi="Times New Roman" w:cs="Times New Roman"/>
        </w:rPr>
        <w:footnoteRef/>
      </w:r>
      <w:r w:rsidRPr="00B91A9E">
        <w:rPr>
          <w:rFonts w:ascii="Times New Roman" w:hAnsi="Times New Roman" w:cs="Times New Roman"/>
          <w:lang w:val="en-US"/>
        </w:rPr>
        <w:t xml:space="preserve"> Huynh T.T. Financial bubble detection using GSADF and LSTM-RNN model: evidence from emerging markets [</w:t>
      </w:r>
      <w:r w:rsidRPr="00B91A9E">
        <w:rPr>
          <w:rFonts w:ascii="Times New Roman" w:hAnsi="Times New Roman" w:cs="Times New Roman"/>
        </w:rPr>
        <w:t>Электронный</w:t>
      </w:r>
      <w:r w:rsidRPr="00B91A9E">
        <w:rPr>
          <w:rFonts w:ascii="Times New Roman" w:hAnsi="Times New Roman" w:cs="Times New Roman"/>
          <w:lang w:val="en-US"/>
        </w:rPr>
        <w:t xml:space="preserve"> </w:t>
      </w:r>
      <w:r w:rsidRPr="00B91A9E">
        <w:rPr>
          <w:rFonts w:ascii="Times New Roman" w:hAnsi="Times New Roman" w:cs="Times New Roman"/>
        </w:rPr>
        <w:t>ресурс</w:t>
      </w:r>
      <w:r w:rsidRPr="00B91A9E">
        <w:rPr>
          <w:rFonts w:ascii="Times New Roman" w:hAnsi="Times New Roman" w:cs="Times New Roman"/>
          <w:lang w:val="en-US"/>
        </w:rPr>
        <w:t xml:space="preserve">] // International Journal of Applied and Actuarial Studies.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2025. </w:t>
      </w:r>
      <w:r w:rsidR="00B65343">
        <w:rPr>
          <w:rFonts w:ascii="Times New Roman" w:hAnsi="Times New Roman" w:cs="Times New Roman"/>
          <w:lang w:val="en-US"/>
        </w:rPr>
        <w:t>–</w:t>
      </w:r>
      <w:r w:rsidRPr="00B91A9E">
        <w:rPr>
          <w:rFonts w:ascii="Times New Roman" w:hAnsi="Times New Roman" w:cs="Times New Roman"/>
          <w:lang w:val="en-US"/>
        </w:rPr>
        <w:t xml:space="preserve"> URL: </w:t>
      </w:r>
    </w:p>
    <w:p w:rsidR="000A5C43" w:rsidRPr="00B91A9E" w:rsidRDefault="00CC2BF3" w:rsidP="00B91A9E">
      <w:pPr>
        <w:pStyle w:val="a3"/>
        <w:jc w:val="both"/>
        <w:rPr>
          <w:rFonts w:ascii="Times New Roman" w:hAnsi="Times New Roman" w:cs="Times New Roman"/>
        </w:rPr>
      </w:pPr>
      <w:hyperlink r:id="rId1" w:history="1">
        <w:r w:rsidR="000A5C43" w:rsidRPr="00B91A9E">
          <w:rPr>
            <w:rStyle w:val="a6"/>
            <w:rFonts w:ascii="Times New Roman" w:hAnsi="Times New Roman" w:cs="Times New Roman"/>
            <w:lang w:val="en-US"/>
          </w:rPr>
          <w:t>https</w:t>
        </w:r>
        <w:r w:rsidR="000A5C43" w:rsidRPr="00B91A9E">
          <w:rPr>
            <w:rStyle w:val="a6"/>
            <w:rFonts w:ascii="Times New Roman" w:hAnsi="Times New Roman" w:cs="Times New Roman"/>
          </w:rPr>
          <w:t>://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etamaths</w:t>
        </w:r>
        <w:r w:rsidR="000A5C43" w:rsidRPr="00B91A9E">
          <w:rPr>
            <w:rStyle w:val="a6"/>
            <w:rFonts w:ascii="Times New Roman" w:hAnsi="Times New Roman" w:cs="Times New Roman"/>
          </w:rPr>
          <w:t>.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com</w:t>
        </w:r>
        <w:r w:rsidR="000A5C43" w:rsidRPr="00B91A9E">
          <w:rPr>
            <w:rStyle w:val="a6"/>
            <w:rFonts w:ascii="Times New Roman" w:hAnsi="Times New Roman" w:cs="Times New Roman"/>
          </w:rPr>
          <w:t>/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index</w:t>
        </w:r>
        <w:r w:rsidR="000A5C43" w:rsidRPr="00B91A9E">
          <w:rPr>
            <w:rStyle w:val="a6"/>
            <w:rFonts w:ascii="Times New Roman" w:hAnsi="Times New Roman" w:cs="Times New Roman"/>
          </w:rPr>
          <w:t>.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php</w:t>
        </w:r>
        <w:r w:rsidR="000A5C43" w:rsidRPr="00B91A9E">
          <w:rPr>
            <w:rStyle w:val="a6"/>
            <w:rFonts w:ascii="Times New Roman" w:hAnsi="Times New Roman" w:cs="Times New Roman"/>
          </w:rPr>
          <w:t>/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ijaa</w:t>
        </w:r>
        <w:r w:rsidR="000A5C43" w:rsidRPr="00B91A9E">
          <w:rPr>
            <w:rStyle w:val="a6"/>
            <w:rFonts w:ascii="Times New Roman" w:hAnsi="Times New Roman" w:cs="Times New Roman"/>
          </w:rPr>
          <w:t>/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article</w:t>
        </w:r>
        <w:r w:rsidR="000A5C43" w:rsidRPr="00B91A9E">
          <w:rPr>
            <w:rStyle w:val="a6"/>
            <w:rFonts w:ascii="Times New Roman" w:hAnsi="Times New Roman" w:cs="Times New Roman"/>
          </w:rPr>
          <w:t>/</w:t>
        </w:r>
        <w:r w:rsidR="000A5C43" w:rsidRPr="00B91A9E">
          <w:rPr>
            <w:rStyle w:val="a6"/>
            <w:rFonts w:ascii="Times New Roman" w:hAnsi="Times New Roman" w:cs="Times New Roman"/>
            <w:lang w:val="en-US"/>
          </w:rPr>
          <w:t>view</w:t>
        </w:r>
        <w:r w:rsidR="000A5C43" w:rsidRPr="00B91A9E">
          <w:rPr>
            <w:rStyle w:val="a6"/>
            <w:rFonts w:ascii="Times New Roman" w:hAnsi="Times New Roman" w:cs="Times New Roman"/>
          </w:rPr>
          <w:t>/4165</w:t>
        </w:r>
      </w:hyperlink>
      <w:r w:rsidR="000A5C43" w:rsidRPr="00B91A9E">
        <w:rPr>
          <w:rFonts w:ascii="Times New Roman" w:hAnsi="Times New Roman" w:cs="Times New Roman"/>
        </w:rPr>
        <w:t xml:space="preserve"> (дата обращения: 22.02.2026).</w:t>
      </w:r>
    </w:p>
  </w:footnote>
  <w:footnote w:id="10">
    <w:p w:rsidR="00B91A9E" w:rsidRPr="00B91A9E" w:rsidRDefault="00B91A9E" w:rsidP="00B91A9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91A9E">
        <w:rPr>
          <w:rStyle w:val="a5"/>
          <w:rFonts w:ascii="Times New Roman" w:hAnsi="Times New Roman" w:cs="Times New Roman"/>
        </w:rPr>
        <w:footnoteRef/>
      </w:r>
      <w:r w:rsidRPr="00B91A9E">
        <w:rPr>
          <w:rFonts w:ascii="Times New Roman" w:hAnsi="Times New Roman" w:cs="Times New Roman"/>
          <w:lang w:val="en-US"/>
        </w:rPr>
        <w:t xml:space="preserve"> Atsiwo A. A three-step machine learning approach to predict market bubbles with financial news [</w:t>
      </w:r>
      <w:r w:rsidRPr="00B91A9E">
        <w:rPr>
          <w:rFonts w:ascii="Times New Roman" w:hAnsi="Times New Roman" w:cs="Times New Roman"/>
        </w:rPr>
        <w:t>Электронный</w:t>
      </w:r>
      <w:r w:rsidRPr="00B91A9E">
        <w:rPr>
          <w:rFonts w:ascii="Times New Roman" w:hAnsi="Times New Roman" w:cs="Times New Roman"/>
          <w:lang w:val="en-US"/>
        </w:rPr>
        <w:t xml:space="preserve"> </w:t>
      </w:r>
      <w:r w:rsidRPr="00B91A9E">
        <w:rPr>
          <w:rFonts w:ascii="Times New Roman" w:hAnsi="Times New Roman" w:cs="Times New Roman"/>
        </w:rPr>
        <w:t>ресурс</w:t>
      </w:r>
      <w:r w:rsidRPr="00B91A9E">
        <w:rPr>
          <w:rFonts w:ascii="Times New Roman" w:hAnsi="Times New Roman" w:cs="Times New Roman"/>
          <w:lang w:val="en-US"/>
        </w:rPr>
        <w:t xml:space="preserve">] / A. </w:t>
      </w:r>
      <w:proofErr w:type="spellStart"/>
      <w:r w:rsidRPr="00B91A9E">
        <w:rPr>
          <w:rFonts w:ascii="Times New Roman" w:hAnsi="Times New Roman" w:cs="Times New Roman"/>
          <w:lang w:val="en-US"/>
        </w:rPr>
        <w:t>Atsiwo</w:t>
      </w:r>
      <w:proofErr w:type="spellEnd"/>
      <w:r w:rsidRPr="00B91A9E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B91A9E">
        <w:rPr>
          <w:rFonts w:ascii="Times New Roman" w:hAnsi="Times New Roman" w:cs="Times New Roman"/>
          <w:lang w:val="en-US"/>
        </w:rPr>
        <w:t>arXiv</w:t>
      </w:r>
      <w:proofErr w:type="spellEnd"/>
      <w:r w:rsidRPr="00B91A9E">
        <w:rPr>
          <w:rFonts w:ascii="Times New Roman" w:hAnsi="Times New Roman" w:cs="Times New Roman"/>
          <w:lang w:val="en-US"/>
        </w:rPr>
        <w:t>. – 2025. – arXiv:2510.16636. – URL: https://arxiv.org/abs/2510.16636 (</w:t>
      </w:r>
      <w:r w:rsidRPr="00B91A9E">
        <w:rPr>
          <w:rFonts w:ascii="Times New Roman" w:hAnsi="Times New Roman" w:cs="Times New Roman"/>
        </w:rPr>
        <w:t>дата</w:t>
      </w:r>
      <w:r w:rsidRPr="00B91A9E">
        <w:rPr>
          <w:rFonts w:ascii="Times New Roman" w:hAnsi="Times New Roman" w:cs="Times New Roman"/>
          <w:lang w:val="en-US"/>
        </w:rPr>
        <w:t xml:space="preserve"> </w:t>
      </w:r>
      <w:r w:rsidRPr="00B91A9E">
        <w:rPr>
          <w:rFonts w:ascii="Times New Roman" w:hAnsi="Times New Roman" w:cs="Times New Roman"/>
        </w:rPr>
        <w:t>обращения</w:t>
      </w:r>
      <w:r w:rsidRPr="00B91A9E">
        <w:rPr>
          <w:rFonts w:ascii="Times New Roman" w:hAnsi="Times New Roman" w:cs="Times New Roman"/>
          <w:lang w:val="en-US"/>
        </w:rPr>
        <w:t>: 22.02.2026). – DOI: 10.48550/arXiv.2510.16636.</w:t>
      </w:r>
    </w:p>
  </w:footnote>
  <w:footnote w:id="11">
    <w:p w:rsidR="00B91A9E" w:rsidRPr="00B91A9E" w:rsidRDefault="00B91A9E" w:rsidP="00B91A9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91A9E">
        <w:rPr>
          <w:rStyle w:val="a5"/>
          <w:rFonts w:ascii="Times New Roman" w:hAnsi="Times New Roman" w:cs="Times New Roman"/>
        </w:rPr>
        <w:footnoteRef/>
      </w:r>
      <w:r w:rsidRPr="00B91A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A9E">
        <w:rPr>
          <w:rFonts w:ascii="Times New Roman" w:hAnsi="Times New Roman" w:cs="Times New Roman"/>
          <w:lang w:val="en-US"/>
        </w:rPr>
        <w:t>Sangjin</w:t>
      </w:r>
      <w:proofErr w:type="spellEnd"/>
      <w:r w:rsidRPr="00B91A9E">
        <w:rPr>
          <w:rFonts w:ascii="Times New Roman" w:hAnsi="Times New Roman" w:cs="Times New Roman"/>
          <w:lang w:val="en-US"/>
        </w:rPr>
        <w:t xml:space="preserve"> Park, Jae-Suk Yang,</w:t>
      </w:r>
    </w:p>
    <w:p w:rsidR="00B91A9E" w:rsidRPr="00B91A9E" w:rsidRDefault="00B91A9E" w:rsidP="00B91A9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91A9E">
        <w:rPr>
          <w:rFonts w:ascii="Times New Roman" w:hAnsi="Times New Roman" w:cs="Times New Roman"/>
          <w:lang w:val="en-US"/>
        </w:rPr>
        <w:t>Machine learning models based on bubble analysis for Bitcoin market crash prediction, Engineering Applications of Artificial Intelligence, Volume 135, 2024, 108857, ISSN 0952-1976, https://doi.org/10.1016/j.engappai.2024.108857.</w:t>
      </w:r>
    </w:p>
  </w:footnote>
  <w:footnote w:id="12">
    <w:p w:rsidR="000A5C43" w:rsidRPr="00B91A9E" w:rsidRDefault="000A5C43" w:rsidP="00B91A9E">
      <w:pPr>
        <w:pStyle w:val="a3"/>
        <w:jc w:val="both"/>
        <w:rPr>
          <w:rFonts w:ascii="Times New Roman" w:hAnsi="Times New Roman" w:cs="Times New Roman"/>
        </w:rPr>
      </w:pPr>
      <w:r w:rsidRPr="00B91A9E">
        <w:rPr>
          <w:rStyle w:val="a5"/>
          <w:rFonts w:ascii="Times New Roman" w:hAnsi="Times New Roman" w:cs="Times New Roman"/>
        </w:rPr>
        <w:footnoteRef/>
      </w:r>
      <w:r w:rsidRPr="00B91A9E">
        <w:rPr>
          <w:rFonts w:ascii="Times New Roman" w:hAnsi="Times New Roman" w:cs="Times New Roman"/>
        </w:rPr>
        <w:t xml:space="preserve"> Щербинина А.В., </w:t>
      </w:r>
      <w:proofErr w:type="spellStart"/>
      <w:r w:rsidRPr="00B91A9E">
        <w:rPr>
          <w:rFonts w:ascii="Times New Roman" w:hAnsi="Times New Roman" w:cs="Times New Roman"/>
        </w:rPr>
        <w:t>Алжеев</w:t>
      </w:r>
      <w:proofErr w:type="spellEnd"/>
      <w:r w:rsidRPr="00B91A9E">
        <w:rPr>
          <w:rFonts w:ascii="Times New Roman" w:hAnsi="Times New Roman" w:cs="Times New Roman"/>
        </w:rPr>
        <w:t xml:space="preserve"> А.В. Сравнительный анализ качества прогнозирования классической статистической модели и модели машинного обучения на данных российского фондового рынка. Ученые записки Российской академии предпринимательства. 2021;20(3):52-63. https://doi.org/10.24182/2073-6258-2021-20-3-52-63</w:t>
      </w:r>
    </w:p>
  </w:footnote>
  <w:footnote w:id="13">
    <w:p w:rsidR="000A5C43" w:rsidRPr="00B91A9E" w:rsidRDefault="000A5C43" w:rsidP="00B91A9E">
      <w:pPr>
        <w:pStyle w:val="a3"/>
        <w:jc w:val="both"/>
        <w:rPr>
          <w:rFonts w:ascii="Times New Roman" w:hAnsi="Times New Roman" w:cs="Times New Roman"/>
        </w:rPr>
      </w:pPr>
      <w:r w:rsidRPr="00B91A9E">
        <w:rPr>
          <w:rStyle w:val="a5"/>
          <w:rFonts w:ascii="Times New Roman" w:hAnsi="Times New Roman" w:cs="Times New Roman"/>
        </w:rPr>
        <w:footnoteRef/>
      </w:r>
      <w:r w:rsidRPr="00B91A9E">
        <w:rPr>
          <w:rFonts w:ascii="Times New Roman" w:hAnsi="Times New Roman" w:cs="Times New Roman"/>
        </w:rPr>
        <w:t xml:space="preserve"> Н. А. Кондратенко, А. В. Батищев, А. С. </w:t>
      </w:r>
      <w:proofErr w:type="spellStart"/>
      <w:r w:rsidRPr="00B91A9E">
        <w:rPr>
          <w:rFonts w:ascii="Times New Roman" w:hAnsi="Times New Roman" w:cs="Times New Roman"/>
        </w:rPr>
        <w:t>Чепрасова</w:t>
      </w:r>
      <w:proofErr w:type="spellEnd"/>
      <w:r w:rsidRPr="00B91A9E">
        <w:rPr>
          <w:rFonts w:ascii="Times New Roman" w:hAnsi="Times New Roman" w:cs="Times New Roman"/>
        </w:rPr>
        <w:t xml:space="preserve"> МАШИННОЕ ОБУЧЕНИЕ VS ЭКОНОМЕТРИКА: МЕТОДОЛОГИЧЕСКИЙ АНАЛИЗ ЭКОНОМИЧЕСКОГО ПРОГНОЗИРОВАНИЯ // ЕГИ. 2025. №2 (58). URL: https://cyberleninka.ru/article/n/mashinnoe-obuchenie-vs-ekonometrika-metodologicheskiy-analiz-ekonomicheskogo-prognozirovaniya (дата обращения: 2</w:t>
      </w:r>
      <w:r w:rsidR="00B91A9E" w:rsidRPr="00B91A9E">
        <w:rPr>
          <w:rFonts w:ascii="Times New Roman" w:hAnsi="Times New Roman" w:cs="Times New Roman"/>
        </w:rPr>
        <w:t>2</w:t>
      </w:r>
      <w:r w:rsidRPr="00B91A9E">
        <w:rPr>
          <w:rFonts w:ascii="Times New Roman" w:hAnsi="Times New Roman" w:cs="Times New Roman"/>
        </w:rPr>
        <w:t>.02.2026).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91"/>
    <w:rsid w:val="000A5C43"/>
    <w:rsid w:val="00322FB7"/>
    <w:rsid w:val="00385FDE"/>
    <w:rsid w:val="003B5C16"/>
    <w:rsid w:val="0042646B"/>
    <w:rsid w:val="00624CD2"/>
    <w:rsid w:val="00860FA0"/>
    <w:rsid w:val="00B65343"/>
    <w:rsid w:val="00B91A9E"/>
    <w:rsid w:val="00C3605E"/>
    <w:rsid w:val="00C87E34"/>
    <w:rsid w:val="00CC2BF3"/>
    <w:rsid w:val="00CC76F2"/>
    <w:rsid w:val="00EF174A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F663"/>
  <w15:chartTrackingRefBased/>
  <w15:docId w15:val="{E3E686C5-BB32-9041-A855-D9155287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4C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4C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4CD2"/>
    <w:rPr>
      <w:vertAlign w:val="superscript"/>
    </w:rPr>
  </w:style>
  <w:style w:type="character" w:styleId="a6">
    <w:name w:val="Hyperlink"/>
    <w:basedOn w:val="a0"/>
    <w:uiPriority w:val="99"/>
    <w:unhideWhenUsed/>
    <w:rsid w:val="000A5C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C4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A5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tamaths.com/index.php/ijaa/article/view/4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B62A98-A2AC-4A0A-8E2F-005B795C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Belnikov</dc:creator>
  <cp:keywords/>
  <dc:description/>
  <cp:lastModifiedBy>USER</cp:lastModifiedBy>
  <cp:revision>3</cp:revision>
  <dcterms:created xsi:type="dcterms:W3CDTF">2026-02-25T17:51:00Z</dcterms:created>
  <dcterms:modified xsi:type="dcterms:W3CDTF">2026-02-28T15:47:00Z</dcterms:modified>
</cp:coreProperties>
</file>