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center"/>
        <w:rPr>
          <w:rFonts w:ascii="Times New Roman" w:cs="Times New Roman" w:hAnsi="Times New Roman" w:eastAsia="Times New Roman"/>
          <w:b w:val="1"/>
          <w:b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Россия и ОДКБ</w:t>
      </w:r>
      <w:r>
        <w:rPr>
          <w:rFonts w:ascii="Times New Roman" w:hAnsi="Times New Roman"/>
          <w:b w:val="1"/>
          <w:b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поиск новой модели стратегической устойчивости</w:t>
      </w:r>
      <w:r>
        <w:rPr>
          <w:rFonts w:ascii="Times New Roman" w:cs="Times New Roman" w:hAnsi="Times New Roman" w:eastAsia="Times New Roman"/>
          <w:b w:val="1"/>
          <w:bCs w:val="1"/>
          <w:u w:color="000000"/>
          <w:vertAlign w:val="superscript"/>
          <w:rtl w:val="0"/>
          <w:lang w:val="ru-RU"/>
          <w14:textOutline w14:w="12700" w14:cap="flat">
            <w14:noFill/>
            <w14:miter w14:lim="400000"/>
          </w14:textOutline>
        </w:rPr>
        <w:footnoteReference w:id="1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Коломоец Илья Константинович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center"/>
        <w:rPr>
          <w:rFonts w:ascii="Times New Roman" w:cs="Times New Roman" w:hAnsi="Times New Roman" w:eastAsia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соискатель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center"/>
        <w:rPr>
          <w:rFonts w:ascii="Times New Roman" w:cs="Times New Roman" w:hAnsi="Times New Roman" w:eastAsia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Московский государственный университет имени М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 Ломоносова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center"/>
        <w:rPr>
          <w:rFonts w:ascii="Times New Roman" w:cs="Times New Roman" w:hAnsi="Times New Roman" w:eastAsia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Институт стран Азии и Африки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Москва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Россия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center"/>
        <w:rPr>
          <w:rFonts w:ascii="Times New Roman" w:cs="Times New Roman" w:hAnsi="Times New Roman" w:eastAsia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Москва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Россия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center"/>
        <w:rPr>
          <w:rFonts w:ascii="Times New Roman" w:cs="Times New Roman" w:hAnsi="Times New Roman" w:eastAsia="Times New Roman"/>
          <w:i w:val="1"/>
          <w:iCs w:val="1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E</w:t>
      </w:r>
      <w:r>
        <w:rPr>
          <w:rFonts w:ascii="Times New Roman" w:hAnsi="Times New Roman" w:hint="default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mail: </w:t>
      </w:r>
      <w:r>
        <w:rPr>
          <w:rFonts w:ascii="Times New Roman" w:hAnsi="Times New Roman"/>
          <w:i w:val="1"/>
          <w:i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kolomoez-94@mail</w:t>
      </w:r>
      <w:r>
        <w:rPr>
          <w:rFonts w:ascii="Times New Roman" w:hAnsi="Times New Roman"/>
          <w:i w:val="1"/>
          <w:i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.ru</w:t>
      </w:r>
    </w:p>
    <w:p>
      <w:pPr>
        <w:pStyle w:val="heading 2"/>
        <w:keepNext w:val="0"/>
        <w:keepLines w:val="0"/>
        <w:spacing w:before="0" w:after="0"/>
        <w:ind w:firstLine="567"/>
        <w:jc w:val="both"/>
        <w:outlineLvl w:val="9"/>
        <w:rPr>
          <w:rFonts w:ascii="Times New Roman" w:cs="Times New Roman" w:hAnsi="Times New Roman" w:eastAsia="Times New Roman"/>
          <w:b w:val="0"/>
          <w:bCs w:val="0"/>
          <w:sz w:val="24"/>
          <w:szCs w:val="24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Ближний Восток вновь вспыхнул масштабным вооруженным конфликтом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Полномасштабную военную операцию США и Израиля против Ирана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начавшуюся в конце февраля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2026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года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эксперты рассматривают в рамках глобального противостояния США и Китая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которое в новой Стратегии национальной безопасности США характеризуется как «главный вызов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en-US"/>
          <w14:textOutline w14:w="12700" w14:cap="flat">
            <w14:noFill/>
            <w14:miter w14:lim="400000"/>
          </w14:textOutline>
        </w:rPr>
        <w:t xml:space="preserve">XXI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века»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[White House, 2026].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В контексте исследования проблем безопасности представляет интерес позиция ОДКБ по этому вопросу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оперативно сформулированная Секретариатом организации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ОДКБ «наблюдает за происходящим с большой обеспокоенностью»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[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Секретариат ОДКБ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2026].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Эта формулировка подчеркивает деструктивный характер событий для глобальной архитектуры безопасности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</w:p>
    <w:p>
      <w:pPr>
        <w:pStyle w:val="heading 2"/>
        <w:keepNext w:val="0"/>
        <w:keepLines w:val="0"/>
        <w:spacing w:before="0" w:after="0"/>
        <w:ind w:firstLine="567"/>
        <w:jc w:val="both"/>
        <w:outlineLvl w:val="9"/>
        <w:rPr>
          <w:rFonts w:ascii="Times New Roman" w:cs="Times New Roman" w:hAnsi="Times New Roman" w:eastAsia="Times New Roman"/>
          <w:b w:val="0"/>
          <w:bCs w:val="0"/>
          <w:sz w:val="24"/>
          <w:szCs w:val="24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Как нарушается сложившийся баланс сил в Центральной Азии в условиях нарастания глобального противостояния между США и Китаем и усилением влияния региональных и внерегиональных акторов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en-US"/>
          <w14:textOutline w14:w="12700" w14:cap="flat">
            <w14:noFill/>
            <w14:miter w14:lim="400000"/>
          </w14:textOutline>
        </w:rPr>
        <w:t>—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 Китая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США и Турции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? </w:t>
      </w:r>
    </w:p>
    <w:p>
      <w:pPr>
        <w:pStyle w:val="heading 2"/>
        <w:keepNext w:val="0"/>
        <w:keepLines w:val="0"/>
        <w:spacing w:before="0" w:after="0"/>
        <w:ind w:firstLine="567"/>
        <w:jc w:val="both"/>
        <w:outlineLvl w:val="9"/>
        <w:rPr>
          <w:rFonts w:ascii="Times New Roman" w:cs="Times New Roman" w:hAnsi="Times New Roman" w:eastAsia="Times New Roman"/>
          <w:b w:val="0"/>
          <w:bCs w:val="0"/>
          <w:sz w:val="24"/>
          <w:szCs w:val="24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После распада биполярной системы на обширной территории образовался геополитический вакуум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что негативно сказалось на региональной безопасности и вылилось в череду вооруженных конфликтов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Россия стремилась урегулировать отношения с бывшими союзными республиками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выстроить новый баланс сил и обеспечить стратегическую глубину своего присутствия путем создания системы союзов военного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политического и экономического характера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Этому способствовали прочные оборонительные и инфраструктурные связи на пространстве бывшего СССР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При этом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выстраивая отношения с постсоветскими странами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Россия традиционно исходит из принципов геополитического реализма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[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Тренин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, 202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 xml:space="preserve">3,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. 420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  <w14:textOutline w14:w="12700" w14:cap="flat">
            <w14:noFill/>
            <w14:miter w14:lim="400000"/>
          </w14:textOutline>
        </w:rPr>
        <w:t>].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Анализируя текущий баланс сил в Центральной Азии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автор приходит к выводу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что исторически сложившийся региональный комплекс безопасности находится в процессе эрозии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Этот процесс обусловлен рядом геополитических факторов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: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отвлечением ресурсов России на другие направления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;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экономической экспансией и растущим политическим влиянием Китая в регионе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;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системным интересом США к странам региона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;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расширением турецких интересов и другими факторами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Безусловно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одной из важнейших угроз безопасности в Центральной Азии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способной дестабилизировать регион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остается напряженная и деградирующая обстановка в Афганистане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где все более проявляются признаки глубокого социально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экономического кризиса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способного перерасти в гуманитарную катастрофу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>[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Каширина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>, 202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5,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 85</w:t>
      </w:r>
      <w:r>
        <w:rPr>
          <w:rFonts w:ascii="Times New Roman" w:hAnsi="Times New Roman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>]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Особую тревогу вызывают участившиеся в конце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2025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года случаи нарушения государственной границы Таджикистана со стороны Афганистана и нападения с применением беспилотных летательных аппаратов и огнестрельного оружия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Предлагаемая авторами концепция «рациональной ассиметрии» подразумевает трансформацию механизмов ОДКБ от деятельности в рамках классического военно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политического союза к многофункциональному институту региональной безопасности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где российское участие носит характер стержневого элемента Организации и является гарантом суверенитета государств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членов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их технологической и ресурсной устойчивости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Внутренние институциональные механизмы Организации позволяют ей функционировать в гибком режиме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адаптируясь к многовекторности внешнеполитических курсов государств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членов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Это достигается посредством тщательного разграничения зон пересечения национальных интересов партнеров и создания прозрачных правовых механизмов урегулирования споров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 мнению авторов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основными направлениями сотрудничества России с государствами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членами ОДКБ должны быть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:</w:t>
      </w:r>
    </w:p>
    <w:p>
      <w:pPr>
        <w:pStyle w:val="По умолчанию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 w:hint="default"/>
          <w:u w:color="00000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Военно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техническое сотрудничество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включающее интенсивное перевооружение  армий союзников новейшими системами вооружений и обучение современным способам ведения боевых действий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 w:hint="default"/>
          <w:u w:color="00000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Миграционное сотрудничество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 рамках которого Россия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ввиду нехватки трудовых ресурсов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принимает значительное число трудовых мигрантов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что способствует социально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экономической стабильности в странах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партнерах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особенно в государствах с низким уровнем экономического развития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 w:hint="default"/>
          <w:u w:color="00000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Цифровое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(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технологическое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)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сотрудничество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включающее присутствие на рынках стран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партнеров российских цифровых и технологических компаний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работающих с обработкой данных и развитием искусственного интеллекта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 также  действующих в сферах связи и массовых коммуникаций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интернет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торговли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электронной коммерции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создании финансовых экосистем и т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 w:hint="default"/>
          <w:u w:color="00000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Энергетическое сотрудничество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включающее создание единого энергетического рынка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совместные проекты в атомной энергетике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льготные режимы поставок энергоресурсов для партнеров и прочее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Раскрывая четыре основных направления сотрудничества между Россией и странами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партнерами по ОДКБ с целью наиболее эффективного поддержания регионального баланса сил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авторы исходят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первых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из их комплексной и одновременной реализации 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во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вторых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из постепенной синхронизации указанных направлений сотрудничества с функциональными механизмами ОДКБ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center"/>
        <w:rPr>
          <w:rFonts w:ascii="Times New Roman" w:cs="Times New Roman" w:hAnsi="Times New Roman" w:eastAsia="Times New Roman"/>
          <w:b w:val="1"/>
          <w:b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Источники и литература</w:t>
      </w:r>
    </w:p>
    <w:p>
      <w:pPr>
        <w:pStyle w:val="По умолчанию"/>
        <w:numPr>
          <w:ilvl w:val="0"/>
          <w:numId w:val="4"/>
        </w:numPr>
        <w:bidi w:val="0"/>
        <w:spacing w:before="0" w:line="240" w:lineRule="auto"/>
        <w:ind w:right="0"/>
        <w:jc w:val="both"/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National Security Strategy of the United States. White House. (2026). Washington, DC. URL: </w: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"http://www.whitehouse.gov"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00ff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www.whitehouse.gov</w:t>
      </w:r>
      <w:r>
        <w:rPr>
          <w:rFonts w:ascii="Times New Roman" w:cs="Times New Roman" w:hAnsi="Times New Roman" w:eastAsia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2.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Комментарий Секретариата ОДКБ в связи с нанесением военно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воздушных ударов США и Израиля по Ирану 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(28 </w:t>
      </w:r>
      <w:r>
        <w:rPr>
          <w:rFonts w:ascii="Times New Roman" w:hAnsi="Times New Roman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февраля 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2026 </w:t>
      </w:r>
      <w:r>
        <w:rPr>
          <w:rFonts w:ascii="Times New Roman" w:hAnsi="Times New Roman" w:hint="default"/>
          <w:u w:color="000000"/>
          <w:rtl w:val="0"/>
          <w14:textOutline w14:w="12700" w14:cap="flat">
            <w14:noFill/>
            <w14:miter w14:lim="400000"/>
          </w14:textOutline>
        </w:rPr>
        <w:t>года</w:t>
      </w:r>
      <w:r>
        <w:rPr>
          <w:rFonts w:ascii="Times New Roman" w:hAnsi="Times New Roman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>) [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Электронный ресурс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] //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Организация Договора о коллективной безопасности 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офиц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14:textOutline w14:w="12700" w14:cap="flat">
            <w14:noFill/>
            <w14:miter w14:lim="400000"/>
          </w14:textOutline>
        </w:rPr>
        <w:t>сайт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— 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2026.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— 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28 </w:t>
      </w:r>
      <w:r>
        <w:rPr>
          <w:rFonts w:ascii="Times New Roman" w:hAnsi="Times New Roman" w:hint="default"/>
          <w:u w:color="000000"/>
          <w:rtl w:val="0"/>
          <w14:textOutline w14:w="12700" w14:cap="flat">
            <w14:noFill/>
            <w14:miter w14:lim="400000"/>
          </w14:textOutline>
        </w:rPr>
        <w:t>февр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— Режим доступа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>: odkb-csto.org (</w:t>
      </w:r>
      <w:r>
        <w:rPr>
          <w:rFonts w:ascii="Times New Roman" w:hAnsi="Times New Roman" w:hint="default"/>
          <w:u w:color="000000"/>
          <w:rtl w:val="0"/>
          <w14:textOutline w14:w="12700" w14:cap="flat">
            <w14:noFill/>
            <w14:miter w14:lim="400000"/>
          </w14:textOutline>
        </w:rPr>
        <w:t>дата обращения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>: 01.03.2026).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3.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Каширина Т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Турлыбаева Д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Организация Договора о коллективной безопасности и её деятельность в военно‑политической сфере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монография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 2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‑е изд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— </w:t>
      </w:r>
      <w:r>
        <w:rPr>
          <w:rFonts w:ascii="Times New Roman" w:cs="Times New Roman" w:hAnsi="Times New Roman" w:eastAsia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br w:type="textWrapping"/>
        <w:t>М</w:t>
      </w:r>
      <w:r>
        <w:rPr>
          <w:rFonts w:ascii="Times New Roman" w:hAnsi="Times New Roman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. :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Издательско‑торговая корпорация «Дашков и К»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2025.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 268.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bidi w:val="0"/>
        <w:spacing w:before="0" w:line="240" w:lineRule="auto"/>
        <w:ind w:left="0" w:right="0" w:firstLine="567"/>
        <w:jc w:val="both"/>
        <w:rPr>
          <w:rtl w:val="0"/>
        </w:rPr>
      </w:pP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4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Тренин Д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Новый баланс сил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Россия в поисках внешнеполитического равновесия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— М</w:t>
      </w:r>
      <w:r>
        <w:rPr>
          <w:rFonts w:ascii="Times New Roman" w:hAnsi="Times New Roman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 xml:space="preserve">. :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Альпина Паблишер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2023.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—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471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— 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ISBN 978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‑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5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‑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9614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‑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5970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‑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8.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Сноска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u w:color="000000"/>
          <w:vertAlign w:val="superscript"/>
          <w:rtl w:val="0"/>
          <w14:textOutline w14:w="12700" w14:cap="flat">
            <w14:noFill/>
            <w14:miter w14:lim="400000"/>
          </w14:textOutline>
        </w:rPr>
        <w:footnoteRef/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Основные положения и выводы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представленные в данном докладе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сформулированы автором в рамках подготовки диссертационного исследования на соискание ученой степени кандидата политических</w:t>
      </w:r>
      <w:r>
        <w:rPr>
          <w:rFonts w:ascii="Times New Roman" w:hAnsi="Times New Roman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 наук по теме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«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Трансформация механизмов ОДКБ в условиях формирования полицентричного миропорядка</w:t>
      </w:r>
      <w:r>
        <w:rPr>
          <w:rFonts w:ascii="Times New Roman" w:hAnsi="Times New Roman" w:hint="default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»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Автор благодарит своего научного руководителя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</w:t>
      </w:r>
      <w:r>
        <w:rPr>
          <w:rFonts w:ascii="Times New Roman" w:hAnsi="Times New Roman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.,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профессора Жибек Сапарбековну Сыздыкову за экспертную помощь в систематизации материала и профессиональную мотивацию в научно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исследовательской деятельности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left" w:pos="560"/>
          <w:tab w:val="num" w:pos="9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ind w:left="393" w:firstLine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60"/>
          <w:tab w:val="left" w:pos="960"/>
          <w:tab w:val="num" w:pos="13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ind w:left="753" w:firstLine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60"/>
          <w:tab w:val="left" w:pos="960"/>
          <w:tab w:val="left" w:pos="1120"/>
          <w:tab w:val="num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ind w:left="1113" w:firstLine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0"/>
          <w:tab w:val="left" w:pos="960"/>
          <w:tab w:val="left" w:pos="1120"/>
          <w:tab w:val="left" w:pos="1680"/>
          <w:tab w:val="num" w:pos="204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ind w:left="1473" w:firstLine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60"/>
          <w:tab w:val="left" w:pos="960"/>
          <w:tab w:val="left" w:pos="1120"/>
          <w:tab w:val="left" w:pos="1680"/>
          <w:tab w:val="num" w:pos="240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ind w:left="1833" w:firstLine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60"/>
          <w:tab w:val="left" w:pos="960"/>
          <w:tab w:val="left" w:pos="1120"/>
          <w:tab w:val="left" w:pos="1680"/>
          <w:tab w:val="left" w:pos="2240"/>
          <w:tab w:val="num" w:pos="276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ind w:left="2193" w:firstLine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0"/>
          <w:tab w:val="left" w:pos="960"/>
          <w:tab w:val="left" w:pos="1120"/>
          <w:tab w:val="left" w:pos="1680"/>
          <w:tab w:val="left" w:pos="2240"/>
          <w:tab w:val="left" w:pos="2800"/>
          <w:tab w:val="num" w:pos="312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ind w:left="2553" w:firstLine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60"/>
          <w:tab w:val="left" w:pos="960"/>
          <w:tab w:val="left" w:pos="1120"/>
          <w:tab w:val="left" w:pos="1680"/>
          <w:tab w:val="left" w:pos="2240"/>
          <w:tab w:val="left" w:pos="2800"/>
          <w:tab w:val="num" w:pos="348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ind w:left="2913" w:firstLine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60"/>
          <w:tab w:val="left" w:pos="960"/>
          <w:tab w:val="left" w:pos="1120"/>
          <w:tab w:val="left" w:pos="1680"/>
          <w:tab w:val="left" w:pos="2240"/>
          <w:tab w:val="left" w:pos="2800"/>
          <w:tab w:val="left" w:pos="3360"/>
          <w:tab w:val="num" w:pos="38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49"/>
        </w:tabs>
        <w:ind w:left="3273" w:firstLine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С числами.0"/>
  </w:abstractNum>
  <w:abstractNum w:abstractNumId="3">
    <w:multiLevelType w:val="hybridMultilevel"/>
    <w:styleLink w:val="С числами.0"/>
    <w:lvl w:ilvl="0">
      <w:start w:val="1"/>
      <w:numFmt w:val="decimal"/>
      <w:suff w:val="tab"/>
      <w:lvlText w:val="%1."/>
      <w:lvlJc w:val="left"/>
      <w:pPr>
        <w:tabs>
          <w:tab w:val="left" w:pos="560"/>
          <w:tab w:val="num" w:pos="8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253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60"/>
          <w:tab w:val="left" w:pos="1120"/>
          <w:tab w:val="num" w:pos="16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1053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42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1853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num" w:pos="322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2653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0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3453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482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4253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62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053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num" w:pos="642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5853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num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653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Сноска">
    <w:name w:val="Сноска"/>
    <w:next w:val="Сно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80" w:line="240" w:lineRule="auto"/>
      <w:ind w:left="0" w:right="0" w:firstLine="0"/>
      <w:jc w:val="left"/>
      <w:outlineLvl w:val="1"/>
    </w:pPr>
    <w:rPr>
      <w:rFonts w:ascii="Calibri" w:cs="Arial Unicode MS" w:hAnsi="Calibri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1"/>
      </w:numPr>
    </w:pPr>
  </w:style>
  <w:style w:type="numbering" w:styleId="С числами.0">
    <w:name w:val="С числами.0"/>
    <w:pPr>
      <w:numPr>
        <w:numId w:val="3"/>
      </w:numPr>
    </w:p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