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8CBD" w14:textId="637E8D8A" w:rsidR="0018471F" w:rsidRDefault="0018471F" w:rsidP="001C7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E45">
        <w:rPr>
          <w:rFonts w:ascii="Times New Roman" w:hAnsi="Times New Roman" w:cs="Times New Roman"/>
          <w:b/>
          <w:bCs/>
          <w:sz w:val="24"/>
          <w:szCs w:val="24"/>
        </w:rPr>
        <w:t>Индустрия видеоигр и киберспорта</w:t>
      </w:r>
      <w:r w:rsidRPr="001C7E45">
        <w:rPr>
          <w:rFonts w:ascii="Times New Roman" w:hAnsi="Times New Roman" w:cs="Times New Roman"/>
          <w:b/>
          <w:bCs/>
          <w:sz w:val="24"/>
          <w:szCs w:val="24"/>
        </w:rPr>
        <w:t xml:space="preserve"> как инструмент экономической диверсификации Саудовской Аравии в рамках программы «Видение 2030»</w:t>
      </w:r>
    </w:p>
    <w:p w14:paraId="0908CCAA" w14:textId="0A00C9DC" w:rsidR="001C7E45" w:rsidRDefault="001C7E45" w:rsidP="001C7E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E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Ярцев Ю.В.</w:t>
      </w:r>
    </w:p>
    <w:p w14:paraId="5B4CBAA9" w14:textId="360DAA3D" w:rsidR="001C7E45" w:rsidRPr="001C7E45" w:rsidRDefault="001C7E45" w:rsidP="001C7E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7E4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F79AD79" w14:textId="7D3D72C2" w:rsidR="001C7E45" w:rsidRDefault="001C7E45" w:rsidP="001C7E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7E45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1C7E45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Институт стран Азии и Африки, Москва, Россия</w:t>
      </w:r>
    </w:p>
    <w:p w14:paraId="39687B7B" w14:textId="5BBD662F" w:rsidR="001C7E45" w:rsidRPr="001C7E45" w:rsidRDefault="001C7E45" w:rsidP="001C7E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yury-yartsev@yandex.ru</w:t>
      </w:r>
    </w:p>
    <w:p w14:paraId="29FF38C2" w14:textId="7A2A00AD" w:rsidR="0018471F" w:rsidRPr="002D7175" w:rsidRDefault="0018471F" w:rsidP="002D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E027" w14:textId="531DF2FF" w:rsidR="002D7175" w:rsidRDefault="002D7175" w:rsidP="001847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175">
        <w:rPr>
          <w:rFonts w:ascii="Times New Roman" w:hAnsi="Times New Roman" w:cs="Times New Roman"/>
          <w:sz w:val="24"/>
          <w:szCs w:val="24"/>
        </w:rPr>
        <w:t xml:space="preserve">Экономическая модель Саудовской Аравии на протяжении десятилетий основывалась на экспорте углеводородов, что делало </w:t>
      </w:r>
      <w:r w:rsidR="0048206F">
        <w:rPr>
          <w:rFonts w:ascii="Times New Roman" w:hAnsi="Times New Roman" w:cs="Times New Roman"/>
          <w:sz w:val="24"/>
          <w:szCs w:val="24"/>
        </w:rPr>
        <w:t xml:space="preserve">экономику страны </w:t>
      </w:r>
      <w:r w:rsidRPr="002D7175">
        <w:rPr>
          <w:rFonts w:ascii="Times New Roman" w:hAnsi="Times New Roman" w:cs="Times New Roman"/>
          <w:sz w:val="24"/>
          <w:szCs w:val="24"/>
        </w:rPr>
        <w:t>чувствительн</w:t>
      </w:r>
      <w:r w:rsidR="0048206F">
        <w:rPr>
          <w:rFonts w:ascii="Times New Roman" w:hAnsi="Times New Roman" w:cs="Times New Roman"/>
          <w:sz w:val="24"/>
          <w:szCs w:val="24"/>
        </w:rPr>
        <w:t>ой</w:t>
      </w:r>
      <w:r w:rsidRPr="002D7175">
        <w:rPr>
          <w:rFonts w:ascii="Times New Roman" w:hAnsi="Times New Roman" w:cs="Times New Roman"/>
          <w:sz w:val="24"/>
          <w:szCs w:val="24"/>
        </w:rPr>
        <w:t xml:space="preserve"> к колебаниям мировых цен на нефть. Падение нефтяных котировок в 2014–2016 гг. продемонстрировало уязвимость сырьевой структуры экономики и актуализировало задачу диверсификации [1]. В этих условиях была принята программа «Видение 2030», предусматривающая развитие несырьевых отраслей, формирование новых источников роста и снижение зависимости бюджета от нефтегазового сектора.</w:t>
      </w:r>
    </w:p>
    <w:p w14:paraId="66C79A2D" w14:textId="7F83519B" w:rsidR="002D7175" w:rsidRDefault="002D7175" w:rsidP="001847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175">
        <w:rPr>
          <w:rFonts w:ascii="Times New Roman" w:hAnsi="Times New Roman" w:cs="Times New Roman"/>
          <w:sz w:val="24"/>
          <w:szCs w:val="24"/>
        </w:rPr>
        <w:t xml:space="preserve">Одним из направлений структурной трансформации стала </w:t>
      </w:r>
      <w:r w:rsidR="0048206F">
        <w:rPr>
          <w:rFonts w:ascii="Times New Roman" w:hAnsi="Times New Roman" w:cs="Times New Roman"/>
          <w:sz w:val="24"/>
          <w:szCs w:val="24"/>
        </w:rPr>
        <w:t>индустрия видеоигр и киберспорта</w:t>
      </w:r>
      <w:r w:rsidRPr="002D7175">
        <w:rPr>
          <w:rFonts w:ascii="Times New Roman" w:hAnsi="Times New Roman" w:cs="Times New Roman"/>
          <w:sz w:val="24"/>
          <w:szCs w:val="24"/>
        </w:rPr>
        <w:t>. В рамках Национальной стратегии развития игровой и киберспортивной индустрии, утверждённой в 2022 г., поставлена цель превратить Королевство в глобальный центр производства видеоигр и проведения крупнейших международных соревнований [</w:t>
      </w:r>
      <w:r w:rsidR="00E51853">
        <w:rPr>
          <w:rFonts w:ascii="Times New Roman" w:hAnsi="Times New Roman" w:cs="Times New Roman"/>
          <w:sz w:val="24"/>
          <w:szCs w:val="24"/>
        </w:rPr>
        <w:t>2</w:t>
      </w:r>
      <w:r w:rsidRPr="002D7175">
        <w:rPr>
          <w:rFonts w:ascii="Times New Roman" w:hAnsi="Times New Roman" w:cs="Times New Roman"/>
          <w:sz w:val="24"/>
          <w:szCs w:val="24"/>
        </w:rPr>
        <w:t xml:space="preserve">]. </w:t>
      </w:r>
      <w:r w:rsidR="00B07857" w:rsidRPr="00B07857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B07857">
        <w:rPr>
          <w:rFonts w:ascii="Times New Roman" w:hAnsi="Times New Roman" w:cs="Times New Roman"/>
          <w:sz w:val="24"/>
          <w:szCs w:val="24"/>
        </w:rPr>
        <w:t>сфера</w:t>
      </w:r>
      <w:r w:rsidR="00B07857" w:rsidRPr="00B07857">
        <w:rPr>
          <w:rFonts w:ascii="Times New Roman" w:hAnsi="Times New Roman" w:cs="Times New Roman"/>
          <w:sz w:val="24"/>
          <w:szCs w:val="24"/>
        </w:rPr>
        <w:t xml:space="preserve"> включается в структуру приоритетных несырьевых направлений развития, рассматриваемых государством в качестве элемент</w:t>
      </w:r>
      <w:r w:rsidR="00B07857">
        <w:rPr>
          <w:rFonts w:ascii="Times New Roman" w:hAnsi="Times New Roman" w:cs="Times New Roman"/>
          <w:sz w:val="24"/>
          <w:szCs w:val="24"/>
        </w:rPr>
        <w:t xml:space="preserve">а </w:t>
      </w:r>
      <w:r w:rsidR="00B07857" w:rsidRPr="00B07857">
        <w:rPr>
          <w:rFonts w:ascii="Times New Roman" w:hAnsi="Times New Roman" w:cs="Times New Roman"/>
          <w:sz w:val="24"/>
          <w:szCs w:val="24"/>
        </w:rPr>
        <w:t>долгосрочной экономической стратегии.</w:t>
      </w:r>
    </w:p>
    <w:p w14:paraId="32621E1A" w14:textId="02E1C1C5" w:rsidR="002D7175" w:rsidRDefault="002D7175" w:rsidP="001847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175">
        <w:rPr>
          <w:rFonts w:ascii="Times New Roman" w:hAnsi="Times New Roman" w:cs="Times New Roman"/>
          <w:sz w:val="24"/>
          <w:szCs w:val="24"/>
        </w:rPr>
        <w:t>Формирование данного сектора опирается на ряд внутренних предпосылок: сравнительно молодую демографическую структуру населения, высокий уровень цифровизации и широкое распространение интернет-доступа [</w:t>
      </w:r>
      <w:r w:rsidR="00E51853">
        <w:rPr>
          <w:rFonts w:ascii="Times New Roman" w:hAnsi="Times New Roman" w:cs="Times New Roman"/>
          <w:sz w:val="24"/>
          <w:szCs w:val="24"/>
        </w:rPr>
        <w:t>3</w:t>
      </w:r>
      <w:r w:rsidRPr="002D7175">
        <w:rPr>
          <w:rFonts w:ascii="Times New Roman" w:hAnsi="Times New Roman" w:cs="Times New Roman"/>
          <w:sz w:val="24"/>
          <w:szCs w:val="24"/>
        </w:rPr>
        <w:t xml:space="preserve">]. Существенную роль играет активная государственная инвестиционная политика, реализуемая через </w:t>
      </w:r>
      <w:r w:rsidR="0048206F">
        <w:rPr>
          <w:rFonts w:ascii="Times New Roman" w:hAnsi="Times New Roman" w:cs="Times New Roman"/>
          <w:sz w:val="24"/>
          <w:szCs w:val="24"/>
        </w:rPr>
        <w:t>Государственный инвестиционный фонд</w:t>
      </w:r>
      <w:r w:rsidRPr="002D7175">
        <w:rPr>
          <w:rFonts w:ascii="Times New Roman" w:hAnsi="Times New Roman" w:cs="Times New Roman"/>
          <w:sz w:val="24"/>
          <w:szCs w:val="24"/>
        </w:rPr>
        <w:t>, а также развитие киберспорта как инфраструктурного и имиджевого направления. Проведение крупных международных турниров и формирование национальной турнирной системы позволяют Саудовской Аравии интегрироваться в глобальную цифровую экономику и усиливать международное позиционирование страны</w:t>
      </w:r>
      <w:r w:rsidR="00E51853">
        <w:rPr>
          <w:rFonts w:ascii="Times New Roman" w:hAnsi="Times New Roman" w:cs="Times New Roman"/>
          <w:sz w:val="24"/>
          <w:szCs w:val="24"/>
        </w:rPr>
        <w:t xml:space="preserve"> </w:t>
      </w:r>
      <w:r w:rsidR="00E51853" w:rsidRPr="00E51853">
        <w:rPr>
          <w:rFonts w:ascii="Times New Roman" w:hAnsi="Times New Roman" w:cs="Times New Roman"/>
          <w:sz w:val="24"/>
          <w:szCs w:val="24"/>
        </w:rPr>
        <w:t>[4]</w:t>
      </w:r>
      <w:r w:rsidRPr="002D7175">
        <w:rPr>
          <w:rFonts w:ascii="Times New Roman" w:hAnsi="Times New Roman" w:cs="Times New Roman"/>
          <w:sz w:val="24"/>
          <w:szCs w:val="24"/>
        </w:rPr>
        <w:t>.</w:t>
      </w:r>
    </w:p>
    <w:p w14:paraId="465174B2" w14:textId="65CC911B" w:rsidR="002D7175" w:rsidRDefault="002D7175" w:rsidP="001847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175">
        <w:rPr>
          <w:rFonts w:ascii="Times New Roman" w:hAnsi="Times New Roman" w:cs="Times New Roman"/>
          <w:sz w:val="24"/>
          <w:szCs w:val="24"/>
        </w:rPr>
        <w:t xml:space="preserve">Таким образом, игровая индустрия в Саудовской Аравии выступает не только сферой досуга, но и инструментом экономической политики. Ее институционализация и поддержка со стороны государства свидетельствуют о стремлении Королевства </w:t>
      </w:r>
      <w:r w:rsidR="00B07857" w:rsidRPr="00B07857">
        <w:rPr>
          <w:rFonts w:ascii="Times New Roman" w:hAnsi="Times New Roman" w:cs="Times New Roman"/>
          <w:sz w:val="24"/>
          <w:szCs w:val="24"/>
        </w:rPr>
        <w:t>сформировать новые источники экономического роста в условиях снижения зависимости от нефтегазового сектора.</w:t>
      </w:r>
    </w:p>
    <w:p w14:paraId="73E79D36" w14:textId="17871821" w:rsidR="00B07857" w:rsidRDefault="00B07857" w:rsidP="001847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4B5790A" w14:textId="0F83B8A9" w:rsidR="00B07857" w:rsidRDefault="00B07857" w:rsidP="00B078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785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B4FD248" w14:textId="5042F869" w:rsidR="00B07857" w:rsidRDefault="00B07857" w:rsidP="00B078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7F547" w14:textId="379CD168" w:rsidR="00E51853" w:rsidRPr="00E51853" w:rsidRDefault="00E51853" w:rsidP="00E518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853">
        <w:rPr>
          <w:rFonts w:ascii="Times New Roman" w:hAnsi="Times New Roman" w:cs="Times New Roman"/>
          <w:sz w:val="24"/>
          <w:szCs w:val="24"/>
        </w:rPr>
        <w:t>Косач Г.Г. «Видение: 2030». Саудовские реформы // Свободная мысль. 2016. № 6. С. 137–150.</w:t>
      </w:r>
    </w:p>
    <w:p w14:paraId="6E16FBC7" w14:textId="379CD168" w:rsidR="00E51853" w:rsidRPr="00E51853" w:rsidRDefault="00E51853" w:rsidP="00E518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1853">
        <w:rPr>
          <w:rFonts w:ascii="Times New Roman" w:hAnsi="Times New Roman" w:cs="Times New Roman"/>
          <w:sz w:val="24"/>
          <w:szCs w:val="24"/>
          <w:lang w:val="en-US"/>
        </w:rPr>
        <w:t xml:space="preserve">National Gaming &amp; Esports Strategy. Riyadh, 2022: </w:t>
      </w:r>
      <w:hyperlink r:id="rId5" w:history="1">
        <w:r w:rsidRPr="00E518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https://nges.sa</w:t>
        </w:r>
      </w:hyperlink>
    </w:p>
    <w:p w14:paraId="3B272850" w14:textId="7E221F43" w:rsidR="00E51853" w:rsidRPr="00E51853" w:rsidRDefault="00E51853" w:rsidP="00E518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1853">
        <w:rPr>
          <w:rFonts w:ascii="Times New Roman" w:hAnsi="Times New Roman" w:cs="Times New Roman"/>
          <w:sz w:val="24"/>
          <w:szCs w:val="24"/>
          <w:lang w:val="en-US"/>
        </w:rPr>
        <w:t xml:space="preserve">General Authority for Statistics. Statistical Yearbook of Saudi Arabia. Riyadh, 2024: </w:t>
      </w:r>
      <w:hyperlink r:id="rId6" w:history="1">
        <w:r w:rsidRPr="00E518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https://www.stats.gov.sa/</w:t>
        </w:r>
      </w:hyperlink>
    </w:p>
    <w:p w14:paraId="0A018CBA" w14:textId="3E9FC529" w:rsidR="00E51853" w:rsidRPr="00CD280F" w:rsidRDefault="00CD280F" w:rsidP="00E518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الاتحاد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السعودي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للرياضات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الإلكترونية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التقرير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السنوي</w:t>
      </w:r>
      <w:proofErr w:type="spellEnd"/>
      <w:r w:rsidRPr="00CD280F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CD280F">
        <w:rPr>
          <w:rFonts w:ascii="Times New Roman" w:hAnsi="Times New Roman" w:cs="Times New Roman"/>
          <w:sz w:val="24"/>
          <w:szCs w:val="24"/>
          <w:lang w:val="en-US"/>
        </w:rPr>
        <w:t>الرياض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2024: </w:t>
      </w:r>
      <w:hyperlink r:id="rId7" w:history="1">
        <w:r w:rsidRPr="00CD28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https://saudiesports.sa/</w:t>
        </w:r>
      </w:hyperlink>
    </w:p>
    <w:p w14:paraId="4BBAFE72" w14:textId="77777777" w:rsidR="00CD280F" w:rsidRPr="00CD280F" w:rsidRDefault="00CD280F" w:rsidP="00CD2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280F" w:rsidRPr="00CD280F" w:rsidSect="00E16F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14A8"/>
    <w:multiLevelType w:val="hybridMultilevel"/>
    <w:tmpl w:val="6F52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E9"/>
    <w:rsid w:val="0018471F"/>
    <w:rsid w:val="001C7E45"/>
    <w:rsid w:val="002D7175"/>
    <w:rsid w:val="0048206F"/>
    <w:rsid w:val="00B07857"/>
    <w:rsid w:val="00CD280F"/>
    <w:rsid w:val="00E11618"/>
    <w:rsid w:val="00E16FE9"/>
    <w:rsid w:val="00E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EA0"/>
  <w15:chartTrackingRefBased/>
  <w15:docId w15:val="{E524A887-607D-492A-B57D-A231BE35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8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udiesports.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s.gov.sa/" TargetMode="External"/><Relationship Id="rId5" Type="http://schemas.openxmlformats.org/officeDocument/2006/relationships/hyperlink" Target="https://nges.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2026-03-02T17:52:00Z</dcterms:created>
  <dcterms:modified xsi:type="dcterms:W3CDTF">2026-03-02T19:29:00Z</dcterms:modified>
</cp:coreProperties>
</file>