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4105" w14:textId="77777777" w:rsidR="000A396C" w:rsidRPr="00017339" w:rsidRDefault="000A396C" w:rsidP="000A396C">
      <w:pPr>
        <w:jc w:val="center"/>
        <w:rPr>
          <w:rFonts w:ascii="Times New Roman" w:eastAsia="Times New Roman" w:hAnsi="Times New Roman" w:cs="Times New Roman"/>
          <w:b/>
          <w:bCs/>
          <w:color w:val="0C0C0C"/>
          <w:lang w:eastAsia="ru-RU"/>
        </w:rPr>
      </w:pPr>
      <w:r w:rsidRPr="00BA3A04">
        <w:rPr>
          <w:rFonts w:ascii="Times New Roman" w:eastAsia="Times New Roman" w:hAnsi="Times New Roman" w:cs="Times New Roman"/>
          <w:b/>
          <w:bCs/>
          <w:color w:val="0C0C0C"/>
          <w:lang w:eastAsia="ru-RU"/>
        </w:rPr>
        <w:t>Категория валентности в арабской грамматике: интерпретация классификации глаголов в «</w:t>
      </w:r>
      <w:proofErr w:type="spellStart"/>
      <w:r w:rsidRPr="00BA3A04">
        <w:rPr>
          <w:rFonts w:ascii="Times New Roman" w:eastAsia="Times New Roman" w:hAnsi="Times New Roman" w:cs="Times New Roman"/>
          <w:b/>
          <w:bCs/>
          <w:color w:val="0C0C0C"/>
          <w:lang w:eastAsia="ru-RU"/>
        </w:rPr>
        <w:t>Китаб</w:t>
      </w:r>
      <w:proofErr w:type="spellEnd"/>
      <w:r w:rsidRPr="00BA3A04">
        <w:rPr>
          <w:rFonts w:ascii="Times New Roman" w:eastAsia="Times New Roman" w:hAnsi="Times New Roman" w:cs="Times New Roman"/>
          <w:b/>
          <w:bCs/>
          <w:color w:val="0C0C0C"/>
          <w:lang w:eastAsia="ru-RU"/>
        </w:rPr>
        <w:t>» Сибавайхи</w:t>
      </w:r>
    </w:p>
    <w:p w14:paraId="35576FD0" w14:textId="7602482E" w:rsidR="001B2032" w:rsidRPr="001B2032" w:rsidRDefault="001B2032" w:rsidP="001B2032">
      <w:pPr>
        <w:ind w:firstLine="397"/>
        <w:jc w:val="center"/>
        <w:rPr>
          <w:rFonts w:asciiTheme="majorBidi" w:hAnsiTheme="majorBidi" w:cstheme="majorBidi"/>
          <w:b/>
          <w:bCs/>
          <w:szCs w:val="20"/>
        </w:rPr>
      </w:pPr>
      <w:r w:rsidRPr="001B2032">
        <w:rPr>
          <w:rFonts w:asciiTheme="majorBidi" w:hAnsiTheme="majorBidi" w:cstheme="majorBidi"/>
          <w:b/>
          <w:bCs/>
          <w:szCs w:val="20"/>
        </w:rPr>
        <w:t>Синицына Александра Антоновна</w:t>
      </w:r>
    </w:p>
    <w:p w14:paraId="766951CE" w14:textId="47F8EF91" w:rsidR="001B2032" w:rsidRPr="001B2032" w:rsidRDefault="001B2032" w:rsidP="001B2032">
      <w:pPr>
        <w:ind w:firstLine="397"/>
        <w:jc w:val="center"/>
        <w:rPr>
          <w:rFonts w:asciiTheme="majorBidi" w:hAnsiTheme="majorBidi" w:cstheme="majorBidi"/>
          <w:szCs w:val="20"/>
        </w:rPr>
      </w:pPr>
      <w:r w:rsidRPr="001B2032">
        <w:rPr>
          <w:rFonts w:asciiTheme="majorBidi" w:hAnsiTheme="majorBidi" w:cstheme="majorBidi"/>
          <w:szCs w:val="20"/>
        </w:rPr>
        <w:t>Студентка 2 курса аспирантуры</w:t>
      </w:r>
    </w:p>
    <w:p w14:paraId="41744479" w14:textId="77777777" w:rsidR="001B2032" w:rsidRPr="001B2032" w:rsidRDefault="001B2032" w:rsidP="001B2032">
      <w:pPr>
        <w:ind w:firstLine="397"/>
        <w:jc w:val="center"/>
        <w:rPr>
          <w:rFonts w:asciiTheme="majorBidi" w:hAnsiTheme="majorBidi" w:cstheme="majorBidi"/>
          <w:szCs w:val="20"/>
        </w:rPr>
      </w:pPr>
      <w:r w:rsidRPr="001B2032">
        <w:rPr>
          <w:rFonts w:asciiTheme="majorBidi" w:hAnsiTheme="majorBidi" w:cstheme="majorBidi"/>
          <w:szCs w:val="20"/>
        </w:rPr>
        <w:t>Московский государственный университет имени М. В. Ломоносов</w:t>
      </w:r>
      <w:r w:rsidRPr="001B2032">
        <w:rPr>
          <w:rFonts w:asciiTheme="majorBidi" w:hAnsiTheme="majorBidi" w:cstheme="majorBidi"/>
          <w:szCs w:val="20"/>
          <w:lang w:val="en-US"/>
        </w:rPr>
        <w:t>a</w:t>
      </w:r>
      <w:r w:rsidRPr="001B2032">
        <w:rPr>
          <w:rFonts w:asciiTheme="majorBidi" w:hAnsiTheme="majorBidi" w:cstheme="majorBidi"/>
          <w:szCs w:val="20"/>
        </w:rPr>
        <w:t>, Институт стран Азии и Африки, Москва, Россия</w:t>
      </w:r>
    </w:p>
    <w:p w14:paraId="24739A85" w14:textId="45472201" w:rsidR="001B2032" w:rsidRPr="00832EB3" w:rsidRDefault="007F74BB" w:rsidP="001B2032">
      <w:pPr>
        <w:ind w:firstLine="397"/>
        <w:jc w:val="center"/>
        <w:rPr>
          <w:rFonts w:asciiTheme="majorBidi" w:hAnsiTheme="majorBidi" w:cstheme="majorBidi"/>
          <w:szCs w:val="20"/>
        </w:rPr>
      </w:pPr>
      <w:r w:rsidRPr="001B2032">
        <w:rPr>
          <w:rFonts w:asciiTheme="majorBidi" w:hAnsiTheme="majorBidi" w:cstheme="majorBidi"/>
          <w:szCs w:val="20"/>
          <w:lang w:val="en-US"/>
        </w:rPr>
        <w:t>e</w:t>
      </w:r>
      <w:r w:rsidRPr="00832EB3">
        <w:rPr>
          <w:rFonts w:asciiTheme="majorBidi" w:hAnsiTheme="majorBidi" w:cstheme="majorBidi"/>
          <w:szCs w:val="20"/>
        </w:rPr>
        <w:t>-</w:t>
      </w:r>
      <w:r w:rsidRPr="001B2032">
        <w:rPr>
          <w:rFonts w:asciiTheme="majorBidi" w:hAnsiTheme="majorBidi" w:cstheme="majorBidi"/>
          <w:szCs w:val="20"/>
          <w:lang w:val="en-US"/>
        </w:rPr>
        <w:t>mail</w:t>
      </w:r>
      <w:r w:rsidR="001B2032" w:rsidRPr="00832EB3">
        <w:rPr>
          <w:rFonts w:asciiTheme="majorBidi" w:hAnsiTheme="majorBidi" w:cstheme="majorBidi"/>
          <w:szCs w:val="20"/>
        </w:rPr>
        <w:t xml:space="preserve">: </w:t>
      </w:r>
      <w:proofErr w:type="spellStart"/>
      <w:r w:rsidR="001B2032" w:rsidRPr="001B2032">
        <w:rPr>
          <w:rFonts w:asciiTheme="majorBidi" w:hAnsiTheme="majorBidi" w:cstheme="majorBidi"/>
          <w:lang w:val="en-US"/>
        </w:rPr>
        <w:t>sashasinitsyna</w:t>
      </w:r>
      <w:proofErr w:type="spellEnd"/>
      <w:r w:rsidR="001B2032" w:rsidRPr="00832EB3">
        <w:rPr>
          <w:rFonts w:asciiTheme="majorBidi" w:hAnsiTheme="majorBidi" w:cstheme="majorBidi"/>
        </w:rPr>
        <w:t>@</w:t>
      </w:r>
      <w:proofErr w:type="spellStart"/>
      <w:r w:rsidR="001B2032" w:rsidRPr="001B2032">
        <w:rPr>
          <w:rFonts w:asciiTheme="majorBidi" w:hAnsiTheme="majorBidi" w:cstheme="majorBidi"/>
          <w:lang w:val="en-US"/>
        </w:rPr>
        <w:t>gmail</w:t>
      </w:r>
      <w:proofErr w:type="spellEnd"/>
      <w:r w:rsidR="001B2032" w:rsidRPr="00832EB3">
        <w:rPr>
          <w:rFonts w:asciiTheme="majorBidi" w:hAnsiTheme="majorBidi" w:cstheme="majorBidi"/>
        </w:rPr>
        <w:t>.</w:t>
      </w:r>
      <w:r w:rsidR="001B2032" w:rsidRPr="001B2032">
        <w:rPr>
          <w:rFonts w:asciiTheme="majorBidi" w:hAnsiTheme="majorBidi" w:cstheme="majorBidi"/>
          <w:lang w:val="en-US"/>
        </w:rPr>
        <w:t>com</w:t>
      </w:r>
    </w:p>
    <w:p w14:paraId="4C808962" w14:textId="77777777" w:rsidR="001B2032" w:rsidRPr="00832EB3" w:rsidRDefault="001B2032" w:rsidP="001B2032">
      <w:pPr>
        <w:pStyle w:val="p1"/>
        <w:ind w:firstLine="567"/>
        <w:rPr>
          <w:rStyle w:val="s1"/>
          <w:rFonts w:asciiTheme="majorBidi" w:hAnsiTheme="majorBidi" w:cstheme="majorBidi"/>
          <w:b/>
          <w:bCs/>
          <w:sz w:val="24"/>
          <w:szCs w:val="24"/>
        </w:rPr>
      </w:pPr>
    </w:p>
    <w:p w14:paraId="713B20AB" w14:textId="4C5192FF" w:rsidR="000317A7" w:rsidRPr="001A6CB3" w:rsidRDefault="00B9663D" w:rsidP="00FC5501">
      <w:pPr>
        <w:ind w:firstLine="397"/>
        <w:jc w:val="both"/>
        <w:rPr>
          <w:rFonts w:asciiTheme="majorBidi" w:hAnsiTheme="majorBidi" w:cstheme="majorBidi"/>
          <w:szCs w:val="20"/>
        </w:rPr>
      </w:pPr>
      <w:r w:rsidRPr="00B9663D">
        <w:rPr>
          <w:rFonts w:asciiTheme="majorBidi" w:hAnsiTheme="majorBidi" w:cstheme="majorBidi"/>
          <w:szCs w:val="20"/>
        </w:rPr>
        <w:t>В истории арабской лингвистической традиции «</w:t>
      </w:r>
      <w:proofErr w:type="spellStart"/>
      <w:r w:rsidRPr="00B9663D">
        <w:rPr>
          <w:rFonts w:asciiTheme="majorBidi" w:hAnsiTheme="majorBidi" w:cstheme="majorBidi"/>
          <w:szCs w:val="20"/>
        </w:rPr>
        <w:t>Китаб</w:t>
      </w:r>
      <w:proofErr w:type="spellEnd"/>
      <w:r w:rsidRPr="00B9663D">
        <w:rPr>
          <w:rFonts w:asciiTheme="majorBidi" w:hAnsiTheme="majorBidi" w:cstheme="majorBidi"/>
          <w:szCs w:val="20"/>
        </w:rPr>
        <w:t xml:space="preserve">» Сибавайхи занимает важное место не только как первый свод грамматических правил, но и как целостная теория </w:t>
      </w:r>
      <w:r w:rsidR="006C32DF">
        <w:rPr>
          <w:rFonts w:asciiTheme="majorBidi" w:hAnsiTheme="majorBidi" w:cstheme="majorBidi"/>
          <w:szCs w:val="20"/>
        </w:rPr>
        <w:t xml:space="preserve">арабского </w:t>
      </w:r>
      <w:r w:rsidRPr="00B9663D">
        <w:rPr>
          <w:rFonts w:asciiTheme="majorBidi" w:hAnsiTheme="majorBidi" w:cstheme="majorBidi"/>
          <w:szCs w:val="20"/>
        </w:rPr>
        <w:t xml:space="preserve">синтаксиса. </w:t>
      </w:r>
      <w:r w:rsidR="00FF39E3" w:rsidRPr="00FF39E3">
        <w:rPr>
          <w:rFonts w:asciiTheme="majorBidi" w:hAnsiTheme="majorBidi" w:cstheme="majorBidi"/>
          <w:szCs w:val="20"/>
        </w:rPr>
        <w:t xml:space="preserve">В докладе </w:t>
      </w:r>
      <w:r w:rsidR="000317A7">
        <w:rPr>
          <w:rFonts w:asciiTheme="majorBidi" w:hAnsiTheme="majorBidi" w:cstheme="majorBidi"/>
          <w:szCs w:val="20"/>
        </w:rPr>
        <w:t>рассматриваются</w:t>
      </w:r>
      <w:r w:rsidR="00FF39E3" w:rsidRPr="00FF39E3">
        <w:rPr>
          <w:rFonts w:asciiTheme="majorBidi" w:hAnsiTheme="majorBidi" w:cstheme="majorBidi"/>
          <w:szCs w:val="20"/>
        </w:rPr>
        <w:t xml:space="preserve"> </w:t>
      </w:r>
      <w:r w:rsidR="00FF39E3">
        <w:rPr>
          <w:rFonts w:asciiTheme="majorBidi" w:hAnsiTheme="majorBidi" w:cstheme="majorBidi"/>
          <w:szCs w:val="20"/>
        </w:rPr>
        <w:t xml:space="preserve">модели глагольного управления, описанные Сибавайхи в главах </w:t>
      </w:r>
      <w:r w:rsidR="00FF39E3">
        <w:rPr>
          <w:rFonts w:asciiTheme="majorBidi" w:hAnsiTheme="majorBidi" w:cstheme="majorBidi"/>
          <w:szCs w:val="20"/>
          <w:lang w:val="en-US"/>
        </w:rPr>
        <w:t>IX</w:t>
      </w:r>
      <w:r w:rsidR="000317A7" w:rsidRPr="000317A7">
        <w:rPr>
          <w:rFonts w:asciiTheme="majorBidi" w:hAnsiTheme="majorBidi" w:cstheme="majorBidi"/>
          <w:szCs w:val="20"/>
        </w:rPr>
        <w:t>–</w:t>
      </w:r>
      <w:r w:rsidR="00FF39E3">
        <w:rPr>
          <w:rFonts w:asciiTheme="majorBidi" w:hAnsiTheme="majorBidi" w:cstheme="majorBidi"/>
          <w:szCs w:val="20"/>
          <w:lang w:val="en-US"/>
        </w:rPr>
        <w:t>XIII</w:t>
      </w:r>
      <w:r w:rsidR="003B5448">
        <w:rPr>
          <w:rFonts w:asciiTheme="majorBidi" w:hAnsiTheme="majorBidi" w:cstheme="majorBidi"/>
          <w:szCs w:val="20"/>
        </w:rPr>
        <w:t xml:space="preserve"> через призму теории валентности</w:t>
      </w:r>
      <w:r w:rsidR="00FF39E3">
        <w:rPr>
          <w:rFonts w:asciiTheme="majorBidi" w:hAnsiTheme="majorBidi" w:cstheme="majorBidi"/>
          <w:szCs w:val="20"/>
        </w:rPr>
        <w:t>.</w:t>
      </w:r>
      <w:r w:rsidR="000317A7">
        <w:rPr>
          <w:rFonts w:asciiTheme="majorBidi" w:hAnsiTheme="majorBidi" w:cstheme="majorBidi"/>
          <w:szCs w:val="20"/>
        </w:rPr>
        <w:t xml:space="preserve"> </w:t>
      </w:r>
      <w:r w:rsidR="000317A7" w:rsidRPr="000317A7">
        <w:rPr>
          <w:rFonts w:asciiTheme="majorBidi" w:hAnsiTheme="majorBidi" w:cstheme="majorBidi"/>
          <w:szCs w:val="20"/>
        </w:rPr>
        <w:t>Структура доклада следует логике изложения «</w:t>
      </w:r>
      <w:proofErr w:type="spellStart"/>
      <w:r w:rsidR="000317A7" w:rsidRPr="000317A7">
        <w:rPr>
          <w:rFonts w:asciiTheme="majorBidi" w:hAnsiTheme="majorBidi" w:cstheme="majorBidi"/>
          <w:szCs w:val="20"/>
        </w:rPr>
        <w:t>Китаб</w:t>
      </w:r>
      <w:proofErr w:type="spellEnd"/>
      <w:r w:rsidR="000317A7" w:rsidRPr="000317A7">
        <w:rPr>
          <w:rFonts w:asciiTheme="majorBidi" w:hAnsiTheme="majorBidi" w:cstheme="majorBidi"/>
          <w:szCs w:val="20"/>
        </w:rPr>
        <w:t>», выстроенной по принципу количественного нарастания объектного ряда глаголов</w:t>
      </w:r>
      <w:r w:rsidR="001A6CB3" w:rsidRPr="001A6CB3">
        <w:rPr>
          <w:rFonts w:asciiTheme="majorBidi" w:hAnsiTheme="majorBidi" w:cstheme="majorBidi"/>
          <w:szCs w:val="20"/>
        </w:rPr>
        <w:t xml:space="preserve">: </w:t>
      </w:r>
      <w:r w:rsidR="001A6CB3">
        <w:rPr>
          <w:rFonts w:asciiTheme="majorBidi" w:hAnsiTheme="majorBidi" w:cstheme="majorBidi"/>
          <w:szCs w:val="20"/>
        </w:rPr>
        <w:t xml:space="preserve">от одного до четырех. </w:t>
      </w:r>
    </w:p>
    <w:p w14:paraId="707E066E" w14:textId="77777777" w:rsidR="000317A7" w:rsidRPr="00B9663D" w:rsidRDefault="000317A7" w:rsidP="000317A7">
      <w:pPr>
        <w:ind w:firstLine="397"/>
        <w:rPr>
          <w:rFonts w:asciiTheme="majorBidi" w:hAnsiTheme="majorBidi" w:cstheme="majorBidi"/>
          <w:szCs w:val="20"/>
        </w:rPr>
      </w:pPr>
    </w:p>
    <w:p w14:paraId="3BF7C2E9" w14:textId="70812590" w:rsidR="00210422" w:rsidRPr="00C453BC" w:rsidRDefault="00B9663D" w:rsidP="00C453BC">
      <w:pPr>
        <w:pStyle w:val="a4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Cs w:val="20"/>
        </w:rPr>
      </w:pPr>
      <w:r w:rsidRPr="00210422">
        <w:rPr>
          <w:rFonts w:asciiTheme="majorBidi" w:hAnsiTheme="majorBidi" w:cstheme="majorBidi"/>
          <w:b/>
          <w:bCs/>
          <w:szCs w:val="20"/>
        </w:rPr>
        <w:t>Непереходные</w:t>
      </w:r>
      <w:r w:rsidR="00210422" w:rsidRPr="00210422">
        <w:rPr>
          <w:rFonts w:asciiTheme="majorBidi" w:hAnsiTheme="majorBidi" w:cstheme="majorBidi"/>
          <w:b/>
          <w:bCs/>
          <w:szCs w:val="20"/>
        </w:rPr>
        <w:t xml:space="preserve"> глаголы </w:t>
      </w:r>
    </w:p>
    <w:p w14:paraId="3E5CE3EE" w14:textId="46FA15A8" w:rsidR="00F72DC8" w:rsidRPr="00F72DC8" w:rsidRDefault="00D02F88" w:rsidP="00F72DC8">
      <w:pPr>
        <w:ind w:firstLine="397"/>
        <w:jc w:val="both"/>
        <w:rPr>
          <w:rFonts w:asciiTheme="majorBidi" w:hAnsiTheme="majorBidi" w:cstheme="majorBidi"/>
          <w:spacing w:val="2"/>
          <w:position w:val="5"/>
        </w:rPr>
      </w:pPr>
      <w:bookmarkStart w:id="0" w:name="OLE_LINK2"/>
      <w:r w:rsidRPr="00FC5501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Сибавайхи посвящает </w:t>
      </w:r>
      <w:r w:rsidRPr="00FC5501">
        <w:rPr>
          <w:rFonts w:asciiTheme="majorBidi" w:eastAsia="Times New Roman" w:hAnsiTheme="majorBidi" w:cstheme="majorBidi"/>
          <w:color w:val="0C0C0C"/>
          <w:spacing w:val="2"/>
          <w:position w:val="5"/>
          <w:lang w:val="en-US" w:eastAsia="ru-RU"/>
        </w:rPr>
        <w:t>IX</w:t>
      </w:r>
      <w:r w:rsidRPr="00FC5501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главу своего трактата «</w:t>
      </w:r>
      <w:proofErr w:type="spellStart"/>
      <w:r w:rsidRPr="00FC5501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Китаб</w:t>
      </w:r>
      <w:proofErr w:type="spellEnd"/>
      <w:r w:rsidRPr="00FC5501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» непереходным глаголам и дает им следующее определение: </w:t>
      </w:r>
      <w:r w:rsidRPr="00FC5501">
        <w:rPr>
          <w:rStyle w:val="s1"/>
          <w:rFonts w:asciiTheme="majorBidi" w:hAnsiTheme="majorBidi" w:cstheme="majorBidi"/>
        </w:rPr>
        <w:t>«подлежащее</w:t>
      </w:r>
      <w:r w:rsidR="00DA4935">
        <w:rPr>
          <w:rStyle w:val="s1"/>
          <w:rFonts w:asciiTheme="majorBidi" w:hAnsiTheme="majorBidi" w:cstheme="majorBidi"/>
        </w:rPr>
        <w:t xml:space="preserve"> </w:t>
      </w:r>
      <w:r w:rsidR="00DA4935" w:rsidRPr="00DA4935">
        <w:rPr>
          <w:rStyle w:val="s1"/>
          <w:rFonts w:asciiTheme="majorBidi" w:hAnsiTheme="majorBidi" w:cstheme="majorBidi"/>
        </w:rPr>
        <w:t>[</w:t>
      </w:r>
      <w:r w:rsidR="00DA4935">
        <w:rPr>
          <w:rStyle w:val="s1"/>
          <w:rFonts w:asciiTheme="majorBidi" w:hAnsiTheme="majorBidi" w:cstheme="majorBidi"/>
        </w:rPr>
        <w:t>глагольного предложения</w:t>
      </w:r>
      <w:r w:rsidR="00DA4935" w:rsidRPr="00DA4935">
        <w:rPr>
          <w:rStyle w:val="s1"/>
          <w:rFonts w:asciiTheme="majorBidi" w:hAnsiTheme="majorBidi" w:cstheme="majorBidi"/>
        </w:rPr>
        <w:t>]</w:t>
      </w:r>
      <w:r w:rsidRPr="00FC5501">
        <w:rPr>
          <w:rStyle w:val="s1"/>
          <w:rFonts w:asciiTheme="majorBidi" w:hAnsiTheme="majorBidi" w:cstheme="majorBidi"/>
        </w:rPr>
        <w:t>, глагол которого не переходит на объект»</w:t>
      </w:r>
      <w:r w:rsidR="006C32DF">
        <w:rPr>
          <w:rStyle w:val="s1"/>
          <w:rFonts w:asciiTheme="majorBidi" w:hAnsiTheme="majorBidi" w:cstheme="majorBidi"/>
        </w:rPr>
        <w:t xml:space="preserve"> </w:t>
      </w:r>
      <w:r w:rsidR="006C32DF" w:rsidRPr="00FC5501">
        <w:rPr>
          <w:rStyle w:val="s1"/>
          <w:rFonts w:asciiTheme="majorBidi" w:hAnsiTheme="majorBidi" w:cstheme="majorBidi"/>
          <w:i/>
          <w:iCs/>
          <w:lang w:val="en-US"/>
        </w:rPr>
        <w:t>a</w:t>
      </w:r>
      <w:r w:rsidR="006C32DF" w:rsidRPr="00FC5501">
        <w:rPr>
          <w:rStyle w:val="s1"/>
          <w:rFonts w:asciiTheme="majorBidi" w:hAnsiTheme="majorBidi" w:cstheme="majorBidi"/>
          <w:i/>
          <w:iCs/>
        </w:rPr>
        <w:t>l-</w:t>
      </w:r>
      <w:proofErr w:type="spellStart"/>
      <w:r w:rsidR="006C32DF" w:rsidRPr="00FC5501">
        <w:rPr>
          <w:rStyle w:val="s1"/>
          <w:rFonts w:asciiTheme="majorBidi" w:hAnsiTheme="majorBidi" w:cstheme="majorBidi"/>
          <w:i/>
          <w:iCs/>
        </w:rPr>
        <w:t>fā</w:t>
      </w:r>
      <w:r w:rsidR="006C32DF" w:rsidRPr="0021042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‘</w:t>
      </w:r>
      <w:r w:rsidR="006C32DF" w:rsidRPr="00FC5501">
        <w:rPr>
          <w:rStyle w:val="s1"/>
          <w:rFonts w:asciiTheme="majorBidi" w:hAnsiTheme="majorBidi" w:cstheme="majorBidi"/>
          <w:i/>
          <w:iCs/>
        </w:rPr>
        <w:t>il</w:t>
      </w:r>
      <w:proofErr w:type="spellEnd"/>
      <w:r w:rsidR="006C32DF" w:rsidRPr="00FC5501">
        <w:rPr>
          <w:rStyle w:val="s1"/>
          <w:rFonts w:asciiTheme="majorBidi" w:hAnsiTheme="majorBidi" w:cstheme="majorBidi"/>
          <w:i/>
          <w:iCs/>
          <w:lang w:val="en-US"/>
        </w:rPr>
        <w:t>u</w:t>
      </w:r>
      <w:r w:rsidR="006C32DF" w:rsidRPr="00FC5501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C5501">
        <w:rPr>
          <w:rStyle w:val="s1"/>
          <w:rFonts w:asciiTheme="majorBidi" w:hAnsiTheme="majorBidi" w:cstheme="majorBidi"/>
          <w:i/>
          <w:iCs/>
        </w:rPr>
        <w:t>alladhī</w:t>
      </w:r>
      <w:proofErr w:type="spellEnd"/>
      <w:r w:rsidR="006C32DF" w:rsidRPr="00FC5501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C5501">
        <w:rPr>
          <w:rStyle w:val="s1"/>
          <w:rFonts w:asciiTheme="majorBidi" w:hAnsiTheme="majorBidi" w:cstheme="majorBidi"/>
          <w:i/>
          <w:iCs/>
        </w:rPr>
        <w:t>lam</w:t>
      </w:r>
      <w:proofErr w:type="spellEnd"/>
      <w:r w:rsidR="006C32DF" w:rsidRPr="00FC5501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C5501">
        <w:rPr>
          <w:rStyle w:val="s1"/>
          <w:rFonts w:asciiTheme="majorBidi" w:hAnsiTheme="majorBidi" w:cstheme="majorBidi"/>
          <w:i/>
          <w:iCs/>
        </w:rPr>
        <w:t>yata</w:t>
      </w:r>
      <w:r w:rsidR="006C32DF" w:rsidRPr="0021042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‘</w:t>
      </w:r>
      <w:r w:rsidR="006C32DF" w:rsidRPr="00FC5501">
        <w:rPr>
          <w:rStyle w:val="s1"/>
          <w:rFonts w:asciiTheme="majorBidi" w:hAnsiTheme="majorBidi" w:cstheme="majorBidi"/>
          <w:i/>
          <w:iCs/>
        </w:rPr>
        <w:t>adda-hu</w:t>
      </w:r>
      <w:proofErr w:type="spellEnd"/>
      <w:r w:rsidR="006C32DF" w:rsidRPr="00FC5501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C5501">
        <w:rPr>
          <w:rStyle w:val="s1"/>
          <w:rFonts w:asciiTheme="majorBidi" w:hAnsiTheme="majorBidi" w:cstheme="majorBidi"/>
          <w:i/>
          <w:iCs/>
        </w:rPr>
        <w:t>fiʿlu-hu</w:t>
      </w:r>
      <w:proofErr w:type="spellEnd"/>
      <w:r w:rsidR="006C32DF" w:rsidRPr="00FC5501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C5501">
        <w:rPr>
          <w:rStyle w:val="s1"/>
          <w:rFonts w:asciiTheme="majorBidi" w:hAnsiTheme="majorBidi" w:cstheme="majorBidi"/>
          <w:i/>
          <w:iCs/>
        </w:rPr>
        <w:t>ilā</w:t>
      </w:r>
      <w:proofErr w:type="spellEnd"/>
      <w:r w:rsidR="006C32DF" w:rsidRPr="00FC5501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C5501">
        <w:rPr>
          <w:rStyle w:val="s1"/>
          <w:rFonts w:asciiTheme="majorBidi" w:hAnsiTheme="majorBidi" w:cstheme="majorBidi"/>
          <w:i/>
          <w:iCs/>
        </w:rPr>
        <w:t>mafʿūlin</w:t>
      </w:r>
      <w:proofErr w:type="spellEnd"/>
      <w:r w:rsidRPr="00FC5501">
        <w:rPr>
          <w:rStyle w:val="s1"/>
          <w:rFonts w:asciiTheme="majorBidi" w:hAnsiTheme="majorBidi" w:cstheme="majorBidi"/>
        </w:rPr>
        <w:t>.</w:t>
      </w:r>
      <w:r w:rsidR="00FC5501">
        <w:rPr>
          <w:rStyle w:val="s1"/>
          <w:rFonts w:asciiTheme="majorBidi" w:hAnsiTheme="majorBidi" w:cstheme="majorBidi"/>
        </w:rPr>
        <w:t xml:space="preserve"> </w:t>
      </w:r>
      <w:r w:rsidR="00FC5501" w:rsidRPr="00210422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Сибавайхи определяет непереходность сугубо синтаксически </w:t>
      </w:r>
      <w:r w:rsidR="001A6CB3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–</w:t>
      </w:r>
      <w:r w:rsidR="00FC5501" w:rsidRPr="00210422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через неспособность глагола управлять именем в позиции прямого дополнения (</w:t>
      </w:r>
      <w:proofErr w:type="spellStart"/>
      <w:r w:rsidR="00FC5501" w:rsidRPr="0021042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maf‘ūl</w:t>
      </w:r>
      <w:proofErr w:type="spellEnd"/>
      <w:r w:rsidR="00FC5501" w:rsidRPr="0021042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FC5501" w:rsidRPr="0021042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bi-hi</w:t>
      </w:r>
      <w:proofErr w:type="spellEnd"/>
      <w:r w:rsidR="00FC5501" w:rsidRPr="00210422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).</w:t>
      </w:r>
      <w:r w:rsidR="00FC5501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Единственная валентность </w:t>
      </w:r>
      <w:r w:rsidR="00DA4935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непереходного глагола заполняется субъектом действия</w:t>
      </w:r>
      <w:r w:rsidR="009A29B2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(</w:t>
      </w:r>
      <w:proofErr w:type="spellStart"/>
      <w:r w:rsidR="009A29B2" w:rsidRPr="00FC5501">
        <w:rPr>
          <w:rStyle w:val="s1"/>
          <w:rFonts w:asciiTheme="majorBidi" w:hAnsiTheme="majorBidi" w:cstheme="majorBidi"/>
          <w:i/>
          <w:iCs/>
        </w:rPr>
        <w:t>fā</w:t>
      </w:r>
      <w:r w:rsidR="009A29B2" w:rsidRPr="0021042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‘</w:t>
      </w:r>
      <w:r w:rsidR="009A29B2" w:rsidRPr="00FC5501">
        <w:rPr>
          <w:rStyle w:val="s1"/>
          <w:rFonts w:asciiTheme="majorBidi" w:hAnsiTheme="majorBidi" w:cstheme="majorBidi"/>
          <w:i/>
          <w:iCs/>
        </w:rPr>
        <w:t>il</w:t>
      </w:r>
      <w:proofErr w:type="spellEnd"/>
      <w:r w:rsidR="009A29B2">
        <w:rPr>
          <w:rStyle w:val="s1"/>
          <w:rFonts w:asciiTheme="majorBidi" w:hAnsiTheme="majorBidi" w:cstheme="majorBidi"/>
        </w:rPr>
        <w:t>)</w:t>
      </w:r>
      <w:r w:rsidR="00DA4935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. </w:t>
      </w:r>
      <w:r w:rsidR="009A29B2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В качестве примера Сибавайхи приводит следующие высказывания: </w:t>
      </w:r>
      <w:r w:rsidR="009A29B2">
        <w:rPr>
          <w:rStyle w:val="s1"/>
          <w:rFonts w:asciiTheme="majorBidi" w:hAnsiTheme="majorBidi" w:cstheme="majorBidi"/>
        </w:rPr>
        <w:t>«</w:t>
      </w:r>
      <w:proofErr w:type="spellStart"/>
      <w:r w:rsidR="009A29B2">
        <w:rPr>
          <w:rStyle w:val="s1"/>
          <w:rFonts w:asciiTheme="majorBidi" w:hAnsiTheme="majorBidi" w:cstheme="majorBidi"/>
        </w:rPr>
        <w:t>Зайд</w:t>
      </w:r>
      <w:proofErr w:type="spellEnd"/>
      <w:r w:rsidR="009A29B2">
        <w:rPr>
          <w:rStyle w:val="s1"/>
          <w:rFonts w:asciiTheme="majorBidi" w:hAnsiTheme="majorBidi" w:cstheme="majorBidi"/>
        </w:rPr>
        <w:t xml:space="preserve"> ушел»</w:t>
      </w:r>
      <w:r w:rsidR="006C32DF">
        <w:rPr>
          <w:rStyle w:val="s1"/>
          <w:rFonts w:asciiTheme="majorBidi" w:hAnsiTheme="majorBidi" w:cstheme="majorBidi"/>
        </w:rPr>
        <w:t xml:space="preserve"> </w:t>
      </w:r>
      <w:proofErr w:type="spellStart"/>
      <w:r w:rsidR="006C32DF" w:rsidRPr="009A29B2">
        <w:rPr>
          <w:rStyle w:val="s1"/>
          <w:rFonts w:asciiTheme="majorBidi" w:hAnsiTheme="majorBidi" w:cstheme="majorBidi"/>
          <w:i/>
          <w:iCs/>
          <w:lang w:val="en-US"/>
        </w:rPr>
        <w:t>dhahaba</w:t>
      </w:r>
      <w:proofErr w:type="spellEnd"/>
      <w:r w:rsidR="006C32DF" w:rsidRPr="009A29B2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9A29B2">
        <w:rPr>
          <w:rStyle w:val="s1"/>
          <w:rFonts w:asciiTheme="majorBidi" w:hAnsiTheme="majorBidi" w:cstheme="majorBidi"/>
          <w:i/>
          <w:iCs/>
          <w:lang w:val="en-US"/>
        </w:rPr>
        <w:t>zaydun</w:t>
      </w:r>
      <w:proofErr w:type="spellEnd"/>
      <w:r w:rsidR="009A29B2">
        <w:rPr>
          <w:rStyle w:val="s1"/>
          <w:rFonts w:asciiTheme="majorBidi" w:hAnsiTheme="majorBidi" w:cstheme="majorBidi"/>
        </w:rPr>
        <w:t>; «</w:t>
      </w:r>
      <w:proofErr w:type="spellStart"/>
      <w:r w:rsidR="009A29B2">
        <w:rPr>
          <w:rStyle w:val="s1"/>
          <w:rFonts w:asciiTheme="majorBidi" w:hAnsiTheme="majorBidi" w:cstheme="majorBidi"/>
        </w:rPr>
        <w:t>Амр</w:t>
      </w:r>
      <w:proofErr w:type="spellEnd"/>
      <w:r w:rsidR="009A29B2">
        <w:rPr>
          <w:rStyle w:val="s1"/>
          <w:rFonts w:asciiTheme="majorBidi" w:hAnsiTheme="majorBidi" w:cstheme="majorBidi"/>
        </w:rPr>
        <w:t xml:space="preserve"> сел»</w:t>
      </w:r>
      <w:r w:rsidR="006C32DF">
        <w:rPr>
          <w:rStyle w:val="s1"/>
          <w:rFonts w:asciiTheme="majorBidi" w:hAnsiTheme="majorBidi" w:cstheme="majorBidi"/>
        </w:rPr>
        <w:t xml:space="preserve"> </w:t>
      </w:r>
      <w:proofErr w:type="spellStart"/>
      <w:r w:rsidR="006C32DF" w:rsidRPr="009A29B2">
        <w:rPr>
          <w:rStyle w:val="s1"/>
          <w:rFonts w:asciiTheme="majorBidi" w:hAnsiTheme="majorBidi" w:cstheme="majorBidi"/>
          <w:i/>
          <w:iCs/>
          <w:lang w:val="en-US"/>
        </w:rPr>
        <w:t>jalasa</w:t>
      </w:r>
      <w:proofErr w:type="spellEnd"/>
      <w:r w:rsidR="006C32DF" w:rsidRPr="009A29B2">
        <w:rPr>
          <w:rStyle w:val="s1"/>
          <w:rFonts w:asciiTheme="majorBidi" w:hAnsiTheme="majorBidi" w:cstheme="majorBidi"/>
          <w:i/>
          <w:iCs/>
        </w:rPr>
        <w:t xml:space="preserve"> </w:t>
      </w:r>
      <w:r w:rsidR="006C32DF" w:rsidRPr="0021042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‘</w:t>
      </w:r>
      <w:proofErr w:type="spellStart"/>
      <w:r w:rsidR="006C32DF" w:rsidRPr="009A29B2">
        <w:rPr>
          <w:rStyle w:val="s1"/>
          <w:rFonts w:asciiTheme="majorBidi" w:hAnsiTheme="majorBidi" w:cstheme="majorBidi"/>
          <w:i/>
          <w:iCs/>
          <w:lang w:val="en-US"/>
        </w:rPr>
        <w:t>amr</w:t>
      </w:r>
      <w:proofErr w:type="spellEnd"/>
      <w:r w:rsidR="009A29B2">
        <w:rPr>
          <w:rStyle w:val="s1"/>
          <w:rFonts w:asciiTheme="majorBidi" w:hAnsiTheme="majorBidi" w:cstheme="majorBidi"/>
        </w:rPr>
        <w:t>.</w:t>
      </w:r>
    </w:p>
    <w:bookmarkEnd w:id="0"/>
    <w:p w14:paraId="0D9799FC" w14:textId="06734F40" w:rsidR="00F72DC8" w:rsidRPr="00B55A68" w:rsidRDefault="00F72DC8" w:rsidP="00F72DC8">
      <w:pPr>
        <w:ind w:firstLine="397"/>
        <w:jc w:val="both"/>
        <w:rPr>
          <w:rStyle w:val="s1"/>
          <w:rFonts w:asciiTheme="majorBidi" w:hAnsiTheme="majorBidi" w:cstheme="majorBidi"/>
        </w:rPr>
      </w:pPr>
      <w:r w:rsidRPr="00F72DC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Рассматривая конструкции с глаголами в пассивном залоге, Сибавайхи приравнивает объект действия к субъекту: «</w:t>
      </w:r>
      <w:r w:rsidRPr="00F72DC8">
        <w:rPr>
          <w:rStyle w:val="s1"/>
          <w:rFonts w:asciiTheme="majorBidi" w:hAnsiTheme="majorBidi" w:cstheme="majorBidi"/>
        </w:rPr>
        <w:t>Здесь подлежащее и дополнение равны: дополнение поднимается [ставится в именительн</w:t>
      </w:r>
      <w:r>
        <w:rPr>
          <w:rStyle w:val="s1"/>
          <w:rFonts w:asciiTheme="majorBidi" w:hAnsiTheme="majorBidi" w:cstheme="majorBidi"/>
        </w:rPr>
        <w:t>ый падеж</w:t>
      </w:r>
      <w:r w:rsidRPr="00F72DC8">
        <w:rPr>
          <w:rStyle w:val="s1"/>
          <w:rFonts w:asciiTheme="majorBidi" w:hAnsiTheme="majorBidi" w:cstheme="majorBidi"/>
        </w:rPr>
        <w:t xml:space="preserve">], как и подлежащее, потому что </w:t>
      </w:r>
      <w:r>
        <w:rPr>
          <w:rStyle w:val="s1"/>
          <w:rFonts w:asciiTheme="majorBidi" w:hAnsiTheme="majorBidi" w:cstheme="majorBidi"/>
        </w:rPr>
        <w:t xml:space="preserve">ты </w:t>
      </w:r>
      <w:r w:rsidRPr="00F72DC8">
        <w:rPr>
          <w:rStyle w:val="s1"/>
          <w:rFonts w:asciiTheme="majorBidi" w:hAnsiTheme="majorBidi" w:cstheme="majorBidi"/>
        </w:rPr>
        <w:t>[</w:t>
      </w:r>
      <w:r>
        <w:rPr>
          <w:rStyle w:val="s1"/>
          <w:rFonts w:asciiTheme="majorBidi" w:hAnsiTheme="majorBidi" w:cstheme="majorBidi"/>
        </w:rPr>
        <w:t>говорящий</w:t>
      </w:r>
      <w:r w:rsidRPr="00F72DC8">
        <w:rPr>
          <w:rStyle w:val="s1"/>
          <w:rFonts w:asciiTheme="majorBidi" w:hAnsiTheme="majorBidi" w:cstheme="majorBidi"/>
        </w:rPr>
        <w:t xml:space="preserve">] не занял глагол </w:t>
      </w:r>
      <w:r w:rsidR="006C32DF">
        <w:rPr>
          <w:rStyle w:val="s1"/>
          <w:rFonts w:asciiTheme="majorBidi" w:hAnsiTheme="majorBidi" w:cstheme="majorBidi"/>
        </w:rPr>
        <w:t xml:space="preserve">каким-то другим именем </w:t>
      </w:r>
      <w:r w:rsidRPr="00B55A68">
        <w:rPr>
          <w:rStyle w:val="s1"/>
          <w:rFonts w:asciiTheme="majorBidi" w:hAnsiTheme="majorBidi" w:cstheme="majorBidi"/>
        </w:rPr>
        <w:t xml:space="preserve">и освободил его для </w:t>
      </w:r>
      <w:r w:rsidR="006C32DF">
        <w:rPr>
          <w:rStyle w:val="s1"/>
          <w:rFonts w:asciiTheme="majorBidi" w:hAnsiTheme="majorBidi" w:cstheme="majorBidi"/>
        </w:rPr>
        <w:t>дополнения</w:t>
      </w:r>
      <w:r w:rsidRPr="00B55A68">
        <w:rPr>
          <w:rStyle w:val="s1"/>
          <w:rFonts w:asciiTheme="majorBidi" w:hAnsiTheme="majorBidi" w:cstheme="majorBidi"/>
        </w:rPr>
        <w:t>»</w:t>
      </w:r>
      <w:r w:rsidR="006C32DF">
        <w:rPr>
          <w:rStyle w:val="s1"/>
          <w:rFonts w:asciiTheme="majorBidi" w:hAnsiTheme="majorBidi" w:cstheme="majorBidi"/>
        </w:rPr>
        <w:t xml:space="preserve"> </w:t>
      </w:r>
      <w:r w:rsidR="006C32DF" w:rsidRPr="00F72DC8">
        <w:rPr>
          <w:rStyle w:val="s1"/>
          <w:rFonts w:asciiTheme="majorBidi" w:hAnsiTheme="majorBidi" w:cstheme="majorBidi"/>
          <w:i/>
          <w:iCs/>
          <w:lang w:val="en-US"/>
        </w:rPr>
        <w:t>a</w:t>
      </w:r>
      <w:r w:rsidR="006C32DF" w:rsidRPr="00F72DC8">
        <w:rPr>
          <w:rStyle w:val="s1"/>
          <w:rFonts w:asciiTheme="majorBidi" w:hAnsiTheme="majorBidi" w:cstheme="majorBidi"/>
          <w:i/>
          <w:iCs/>
        </w:rPr>
        <w:t>l-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fāʿilu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wa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>-l-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mafʿūlu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fī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hādhā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sawāʾun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,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yartafiʿu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r w:rsidR="006C32DF" w:rsidRPr="00F72DC8">
        <w:rPr>
          <w:rStyle w:val="s1"/>
          <w:rFonts w:asciiTheme="majorBidi" w:hAnsiTheme="majorBidi" w:cstheme="majorBidi"/>
          <w:i/>
          <w:iCs/>
          <w:lang w:val="en-US"/>
        </w:rPr>
        <w:t>a</w:t>
      </w:r>
      <w:r w:rsidR="006C32DF" w:rsidRPr="00F72DC8">
        <w:rPr>
          <w:rStyle w:val="s1"/>
          <w:rFonts w:asciiTheme="majorBidi" w:hAnsiTheme="majorBidi" w:cstheme="majorBidi"/>
          <w:i/>
          <w:iCs/>
        </w:rPr>
        <w:t>l-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mafʿūlu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kamā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yartafiʿu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r w:rsidR="006C32DF" w:rsidRPr="00F72DC8">
        <w:rPr>
          <w:rStyle w:val="s1"/>
          <w:rFonts w:asciiTheme="majorBidi" w:hAnsiTheme="majorBidi" w:cstheme="majorBidi"/>
          <w:i/>
          <w:iCs/>
          <w:lang w:val="en-US"/>
        </w:rPr>
        <w:t>a</w:t>
      </w:r>
      <w:r w:rsidR="006C32DF" w:rsidRPr="00F72DC8">
        <w:rPr>
          <w:rStyle w:val="s1"/>
          <w:rFonts w:asciiTheme="majorBidi" w:hAnsiTheme="majorBidi" w:cstheme="majorBidi"/>
          <w:i/>
          <w:iCs/>
        </w:rPr>
        <w:t>l-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fāʿilu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li-anna-ka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lam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tashghali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l-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fiʿla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bi-ghayri-hi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wa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farraghta-hu</w:t>
      </w:r>
      <w:proofErr w:type="spellEnd"/>
      <w:r w:rsidR="006C32DF" w:rsidRPr="00F72DC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F72DC8">
        <w:rPr>
          <w:rStyle w:val="s1"/>
          <w:rFonts w:asciiTheme="majorBidi" w:hAnsiTheme="majorBidi" w:cstheme="majorBidi"/>
          <w:i/>
          <w:iCs/>
        </w:rPr>
        <w:t>la-hu</w:t>
      </w:r>
      <w:proofErr w:type="spellEnd"/>
      <w:r w:rsidRPr="00B55A68">
        <w:rPr>
          <w:rStyle w:val="s1"/>
          <w:rFonts w:asciiTheme="majorBidi" w:hAnsiTheme="majorBidi" w:cstheme="majorBidi"/>
        </w:rPr>
        <w:t xml:space="preserve">. </w:t>
      </w:r>
      <w:r w:rsidR="002336F5" w:rsidRPr="00B55A68">
        <w:rPr>
          <w:rStyle w:val="s1"/>
          <w:rFonts w:asciiTheme="majorBidi" w:hAnsiTheme="majorBidi" w:cstheme="majorBidi"/>
        </w:rPr>
        <w:t>Например: «</w:t>
      </w:r>
      <w:proofErr w:type="spellStart"/>
      <w:r w:rsidR="002336F5" w:rsidRPr="00B55A68">
        <w:rPr>
          <w:rStyle w:val="s1"/>
          <w:rFonts w:asciiTheme="majorBidi" w:hAnsiTheme="majorBidi" w:cstheme="majorBidi"/>
        </w:rPr>
        <w:t>Зайд</w:t>
      </w:r>
      <w:proofErr w:type="spellEnd"/>
      <w:r w:rsidR="002336F5" w:rsidRPr="00B55A68">
        <w:rPr>
          <w:rStyle w:val="s1"/>
          <w:rFonts w:asciiTheme="majorBidi" w:hAnsiTheme="majorBidi" w:cstheme="majorBidi"/>
        </w:rPr>
        <w:t xml:space="preserve"> был побит»</w:t>
      </w:r>
      <w:r w:rsidR="006C32DF">
        <w:rPr>
          <w:rStyle w:val="s1"/>
          <w:rFonts w:asciiTheme="majorBidi" w:hAnsiTheme="majorBidi" w:cstheme="majorBidi"/>
        </w:rPr>
        <w:t xml:space="preserve"> </w:t>
      </w:r>
      <w:proofErr w:type="spellStart"/>
      <w:r w:rsidR="006C32DF" w:rsidRPr="00B55A68">
        <w:rPr>
          <w:rStyle w:val="s1"/>
          <w:rFonts w:asciiTheme="majorBidi" w:hAnsiTheme="majorBidi" w:cstheme="majorBidi"/>
          <w:i/>
          <w:iCs/>
        </w:rPr>
        <w:t>ḍuriba</w:t>
      </w:r>
      <w:proofErr w:type="spellEnd"/>
      <w:r w:rsidR="006C32DF" w:rsidRPr="00B55A68">
        <w:rPr>
          <w:rStyle w:val="s1"/>
          <w:rFonts w:asciiTheme="majorBidi" w:hAnsiTheme="majorBidi" w:cstheme="majorBidi"/>
          <w:i/>
          <w:iCs/>
        </w:rPr>
        <w:t xml:space="preserve"> </w:t>
      </w:r>
      <w:proofErr w:type="spellStart"/>
      <w:r w:rsidR="006C32DF" w:rsidRPr="00B55A68">
        <w:rPr>
          <w:rStyle w:val="s1"/>
          <w:rFonts w:asciiTheme="majorBidi" w:hAnsiTheme="majorBidi" w:cstheme="majorBidi"/>
          <w:i/>
          <w:iCs/>
        </w:rPr>
        <w:t>zaydun</w:t>
      </w:r>
      <w:proofErr w:type="spellEnd"/>
      <w:r w:rsidR="002336F5" w:rsidRPr="00B55A68">
        <w:rPr>
          <w:rStyle w:val="s1"/>
          <w:rFonts w:asciiTheme="majorBidi" w:hAnsiTheme="majorBidi" w:cstheme="majorBidi"/>
        </w:rPr>
        <w:t xml:space="preserve">. </w:t>
      </w:r>
    </w:p>
    <w:p w14:paraId="2FC97184" w14:textId="006DCD93" w:rsidR="006C32DF" w:rsidRPr="0063656E" w:rsidRDefault="00B55A68" w:rsidP="0063656E">
      <w:pPr>
        <w:ind w:firstLine="397"/>
        <w:jc w:val="both"/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</w:pPr>
      <w:r w:rsidRPr="00B55A6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Сибавайхи </w:t>
      </w:r>
      <w:r w:rsidR="006C32DF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отмечает</w:t>
      </w:r>
      <w:r w:rsidRPr="00B55A6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, что в пассивной конструкции объект действия, поднятый в позицию</w:t>
      </w:r>
      <w:r w:rsidR="006C32DF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деятеля</w:t>
      </w:r>
      <w:r w:rsidRPr="00B55A6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, синтаксически приравнивается к </w:t>
      </w:r>
      <w:r w:rsidR="0063656E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нем</w:t>
      </w:r>
      <w:r w:rsidRPr="00B55A6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у</w:t>
      </w:r>
      <w:r w:rsidR="0063656E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– маркируется тем же падежом</w:t>
      </w:r>
      <w:r w:rsidRPr="00B55A6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. Однако он </w:t>
      </w:r>
      <w:r w:rsidR="006C32DF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продолжает называть его дополнением</w:t>
      </w:r>
      <w:r w:rsidR="00E655B9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(</w:t>
      </w:r>
      <w:proofErr w:type="spellStart"/>
      <w:r w:rsidR="00E655B9" w:rsidRPr="0021042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maf‘ūl</w:t>
      </w:r>
      <w:proofErr w:type="spellEnd"/>
      <w:r w:rsidR="00E655B9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)</w:t>
      </w:r>
      <w:r w:rsidRPr="00B55A6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: </w:t>
      </w:r>
      <w:r w:rsidR="0063656E" w:rsidRPr="00B55A6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«</w:t>
      </w:r>
      <w:r w:rsidR="0063656E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дополнение</w:t>
      </w:r>
      <w:r w:rsidR="0063656E" w:rsidRPr="00B55A6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, глагол </w:t>
      </w:r>
      <w:r w:rsidR="0063656E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которого </w:t>
      </w:r>
      <w:r w:rsidR="0063656E" w:rsidRPr="00B55A6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не </w:t>
      </w:r>
      <w:r w:rsidR="0063656E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переходит</w:t>
      </w:r>
      <w:r w:rsidR="0063656E" w:rsidRPr="00B55A6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и к которому не переходит глагол </w:t>
      </w:r>
      <w:r w:rsidR="0063656E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подлежащего</w:t>
      </w:r>
      <w:r w:rsidR="0063656E" w:rsidRPr="00B55A6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»</w:t>
      </w:r>
      <w:r w:rsidR="0063656E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</w:t>
      </w:r>
      <w:r w:rsidR="0063656E" w:rsidRPr="00331466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val="en-US" w:eastAsia="ru-RU"/>
        </w:rPr>
        <w:t>a</w:t>
      </w:r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l</w:t>
      </w:r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noBreakHyphen/>
      </w:r>
      <w:proofErr w:type="spellStart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mafʿūlu</w:t>
      </w:r>
      <w:proofErr w:type="spellEnd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r w:rsidR="0063656E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val="en-US" w:eastAsia="ru-RU"/>
        </w:rPr>
        <w:t>a</w:t>
      </w:r>
      <w:proofErr w:type="spellStart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lladhī</w:t>
      </w:r>
      <w:proofErr w:type="spellEnd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lam</w:t>
      </w:r>
      <w:proofErr w:type="spellEnd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yataʿadda</w:t>
      </w:r>
      <w:r w:rsidR="0063656E" w:rsidRPr="00331466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-</w:t>
      </w:r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hu</w:t>
      </w:r>
      <w:proofErr w:type="spellEnd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fiʿlu</w:t>
      </w:r>
      <w:r w:rsidR="0063656E" w:rsidRPr="00331466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-</w:t>
      </w:r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hu</w:t>
      </w:r>
      <w:proofErr w:type="spellEnd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wa</w:t>
      </w:r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noBreakHyphen/>
        <w:t>lam</w:t>
      </w:r>
      <w:proofErr w:type="spellEnd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yataʿadda</w:t>
      </w:r>
      <w:proofErr w:type="spellEnd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ilay</w:t>
      </w:r>
      <w:r w:rsidR="0063656E" w:rsidRPr="00331466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-</w:t>
      </w:r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hi</w:t>
      </w:r>
      <w:proofErr w:type="spellEnd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fiʿlu</w:t>
      </w:r>
      <w:proofErr w:type="spellEnd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fāʿilin</w:t>
      </w:r>
      <w:proofErr w:type="spellEnd"/>
      <w:r w:rsidR="0063656E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.</w:t>
      </w:r>
      <w:r w:rsidR="0063656E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</w:t>
      </w:r>
      <w:r w:rsidR="006C32DF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В </w:t>
      </w:r>
      <w:r w:rsidR="0063656E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последствии</w:t>
      </w:r>
      <w:r w:rsidR="006C32DF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в ходе развития арабской лингвистической традиции для такого дополнения, которое заняло место деятеля, будет выработан специальный термин, так называемый </w:t>
      </w:r>
      <w:proofErr w:type="spellStart"/>
      <w:r w:rsidR="006C32DF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nāʾib</w:t>
      </w:r>
      <w:proofErr w:type="spellEnd"/>
      <w:r w:rsidR="006C32DF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C32DF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al</w:t>
      </w:r>
      <w:r w:rsidR="006C32DF" w:rsidRPr="00B55A68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noBreakHyphen/>
        <w:t>fāʿi</w:t>
      </w:r>
      <w:r w:rsidR="0063656E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val="en-US" w:eastAsia="ru-RU"/>
        </w:rPr>
        <w:t>l</w:t>
      </w:r>
      <w:proofErr w:type="spellEnd"/>
      <w:r w:rsidR="0063656E" w:rsidRPr="0063656E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. </w:t>
      </w:r>
    </w:p>
    <w:p w14:paraId="2031FD75" w14:textId="4D9DAC5E" w:rsidR="00210422" w:rsidRDefault="00210422" w:rsidP="00210422">
      <w:pPr>
        <w:jc w:val="both"/>
        <w:rPr>
          <w:rFonts w:asciiTheme="majorBidi" w:hAnsiTheme="majorBidi" w:cstheme="majorBidi"/>
          <w:szCs w:val="20"/>
        </w:rPr>
      </w:pPr>
    </w:p>
    <w:p w14:paraId="1CEF1024" w14:textId="3C9483C2" w:rsidR="00210422" w:rsidRPr="00C453BC" w:rsidRDefault="00322CC7" w:rsidP="00C453BC">
      <w:pPr>
        <w:pStyle w:val="a4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Cs w:val="20"/>
        </w:rPr>
      </w:pPr>
      <w:r w:rsidRPr="00322CC7">
        <w:rPr>
          <w:rFonts w:asciiTheme="majorBidi" w:hAnsiTheme="majorBidi" w:cstheme="majorBidi"/>
          <w:b/>
          <w:bCs/>
          <w:szCs w:val="20"/>
        </w:rPr>
        <w:t xml:space="preserve">Двухвалентные глаголы </w:t>
      </w:r>
    </w:p>
    <w:p w14:paraId="56FC3C23" w14:textId="7A91E40F" w:rsidR="00E93C67" w:rsidRPr="00E93C67" w:rsidRDefault="00322CC7" w:rsidP="00E93C67">
      <w:pPr>
        <w:ind w:firstLine="397"/>
        <w:jc w:val="both"/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</w:pPr>
      <w:r w:rsidRPr="00322CC7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Двухвалентны</w:t>
      </w:r>
      <w:r w:rsidR="00331466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м глаголам посвящена </w:t>
      </w:r>
      <w:r w:rsidR="00331466" w:rsidRPr="00FC5501">
        <w:rPr>
          <w:rFonts w:asciiTheme="majorBidi" w:eastAsia="Times New Roman" w:hAnsiTheme="majorBidi" w:cstheme="majorBidi"/>
          <w:color w:val="0C0C0C"/>
          <w:spacing w:val="2"/>
          <w:position w:val="5"/>
          <w:lang w:val="en-US" w:eastAsia="ru-RU"/>
        </w:rPr>
        <w:t>X</w:t>
      </w:r>
      <w:r w:rsidR="00331466" w:rsidRPr="00FC5501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глав</w:t>
      </w:r>
      <w:r w:rsidR="00331466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а «</w:t>
      </w:r>
      <w:proofErr w:type="spellStart"/>
      <w:r w:rsidR="00331466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Китаб</w:t>
      </w:r>
      <w:proofErr w:type="spellEnd"/>
      <w:r w:rsidR="00331466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»</w:t>
      </w:r>
      <w:r w:rsidR="00E93C67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. </w:t>
      </w:r>
      <w:r w:rsidR="00E93C67" w:rsidRPr="00E93C67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Сибавайхи описывает переходный двухвалентный глагол </w:t>
      </w:r>
      <w:r w:rsidR="0063656E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так</w:t>
      </w:r>
      <w:r w:rsidR="00E93C67" w:rsidRPr="00E93C67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: «подлежащее, глагол которого переходит на [</w:t>
      </w:r>
      <w:r w:rsidR="00E93C67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одно</w:t>
      </w:r>
      <w:r w:rsidR="00E93C67" w:rsidRPr="00E93C67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]</w:t>
      </w:r>
      <w:r w:rsidR="00E93C67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</w:t>
      </w:r>
      <w:r w:rsidR="00E93C67" w:rsidRPr="00E93C67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дополнение»</w:t>
      </w:r>
      <w:r w:rsidR="0063656E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al-fāʿilu</w:t>
      </w:r>
      <w:proofErr w:type="spellEnd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alladhī</w:t>
      </w:r>
      <w:proofErr w:type="spellEnd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yataʿadda-hu</w:t>
      </w:r>
      <w:proofErr w:type="spellEnd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fiʿlu-hu</w:t>
      </w:r>
      <w:proofErr w:type="spellEnd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ilā</w:t>
      </w:r>
      <w:proofErr w:type="spellEnd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mafʿūlin</w:t>
      </w:r>
      <w:proofErr w:type="spellEnd"/>
      <w:r w:rsidR="00E93C67" w:rsidRPr="00E93C67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. Пример Сибавайхи: «ударил </w:t>
      </w:r>
      <w:proofErr w:type="spellStart"/>
      <w:r w:rsidR="0093050B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Абдаллах</w:t>
      </w:r>
      <w:proofErr w:type="spellEnd"/>
      <w:r w:rsidR="0093050B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</w:t>
      </w:r>
      <w:proofErr w:type="spellStart"/>
      <w:r w:rsidR="00E93C67" w:rsidRPr="00E93C67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Зайда</w:t>
      </w:r>
      <w:proofErr w:type="spellEnd"/>
      <w:r w:rsidR="00E93C67" w:rsidRPr="00E93C67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»</w:t>
      </w:r>
      <w:r w:rsidR="0063656E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ḍaraba</w:t>
      </w:r>
      <w:proofErr w:type="spellEnd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ʿabdu-llāh</w:t>
      </w:r>
      <w:proofErr w:type="spellEnd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="0063656E" w:rsidRPr="00E93C67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zaydan</w:t>
      </w:r>
      <w:proofErr w:type="spellEnd"/>
      <w:r w:rsidR="00E93C67" w:rsidRPr="00E93C67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.</w:t>
      </w:r>
      <w:r w:rsidR="0063656E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</w:t>
      </w:r>
    </w:p>
    <w:p w14:paraId="2BC819F6" w14:textId="474C0A4C" w:rsidR="00C453BC" w:rsidRDefault="00D00734" w:rsidP="00D953F8">
      <w:pPr>
        <w:ind w:firstLine="397"/>
        <w:jc w:val="both"/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</w:pPr>
      <w:r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Для глагольных предложений в арабском языке типичен следующий порядок слов – </w:t>
      </w:r>
      <w:r>
        <w:rPr>
          <w:rFonts w:asciiTheme="majorBidi" w:eastAsia="Times New Roman" w:hAnsiTheme="majorBidi" w:cstheme="majorBidi"/>
          <w:color w:val="0C0C0C"/>
          <w:spacing w:val="2"/>
          <w:position w:val="5"/>
          <w:lang w:val="en-US" w:eastAsia="ru-RU"/>
        </w:rPr>
        <w:t>VSO</w:t>
      </w:r>
      <w:r w:rsidRPr="00D00734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(</w:t>
      </w:r>
      <w:r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глагол / подлежащее / дополнение)</w:t>
      </w:r>
      <w:r w:rsidR="00D953F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, как в представленном выше примере</w:t>
      </w:r>
      <w:r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. Сибавайхи отмечает, что бывает и иначе, прямое дополнение может находиться в препозиции к деятелю</w:t>
      </w:r>
      <w:r w:rsidR="00D953F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, например:</w:t>
      </w:r>
      <w:r w:rsidR="0093050B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«ударил </w:t>
      </w:r>
      <w:proofErr w:type="spellStart"/>
      <w:r w:rsidR="0093050B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Зайда</w:t>
      </w:r>
      <w:proofErr w:type="spellEnd"/>
      <w:r w:rsidR="0093050B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</w:t>
      </w:r>
      <w:proofErr w:type="spellStart"/>
      <w:r w:rsidR="0093050B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Абдаллах</w:t>
      </w:r>
      <w:proofErr w:type="spellEnd"/>
      <w:r w:rsidR="0093050B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»</w:t>
      </w:r>
      <w:r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</w:t>
      </w:r>
      <w:proofErr w:type="spellStart"/>
      <w:r w:rsidRPr="0093050B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ḍaraba</w:t>
      </w:r>
      <w:proofErr w:type="spellEnd"/>
      <w:r w:rsidRPr="0093050B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Pr="0093050B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zaydan</w:t>
      </w:r>
      <w:proofErr w:type="spellEnd"/>
      <w:r w:rsidRPr="0093050B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Pr="0093050B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ʿabdu-llāh</w:t>
      </w:r>
      <w:proofErr w:type="spellEnd"/>
      <w:r w:rsidR="0093050B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.</w:t>
      </w:r>
      <w:r w:rsidR="0093050B" w:rsidRPr="0093050B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</w:t>
      </w:r>
      <w:r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М</w:t>
      </w:r>
      <w:r w:rsidR="00270862" w:rsidRPr="00270862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отивацию такой перестановки</w:t>
      </w:r>
      <w:r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он объясняет следующим образом</w:t>
      </w:r>
      <w:r w:rsidR="00270862" w:rsidRPr="00270862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:</w:t>
      </w:r>
      <w:r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</w:t>
      </w:r>
      <w:r w:rsidR="00270862" w:rsidRPr="00270862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«они </w:t>
      </w:r>
      <w:r w:rsidR="00D953F8" w:rsidRPr="00D953F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[</w:t>
      </w:r>
      <w:r w:rsidR="00D953F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арабы</w:t>
      </w:r>
      <w:r w:rsidR="00D953F8" w:rsidRPr="00D953F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]</w:t>
      </w:r>
      <w:r w:rsidR="00D953F8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</w:t>
      </w:r>
      <w:r w:rsidR="00270862" w:rsidRPr="00270862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>выдвигают вперёд то, разъяснение чего для них важнее, и о чём они больше заботятся»</w:t>
      </w:r>
      <w:r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 </w:t>
      </w:r>
      <w:proofErr w:type="spellStart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ka-annahum</w:t>
      </w:r>
      <w:proofErr w:type="spellEnd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innamā</w:t>
      </w:r>
      <w:proofErr w:type="spellEnd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yuqaddimūna</w:t>
      </w:r>
      <w:proofErr w:type="spellEnd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alladhī</w:t>
      </w:r>
      <w:proofErr w:type="spellEnd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bayānuhu</w:t>
      </w:r>
      <w:proofErr w:type="spellEnd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ahammu</w:t>
      </w:r>
      <w:proofErr w:type="spellEnd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lahum</w:t>
      </w:r>
      <w:proofErr w:type="spellEnd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wa-hum</w:t>
      </w:r>
      <w:proofErr w:type="spellEnd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bi-bayānihi</w:t>
      </w:r>
      <w:proofErr w:type="spellEnd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 xml:space="preserve"> </w:t>
      </w:r>
      <w:proofErr w:type="spellStart"/>
      <w:r w:rsidRPr="00270862">
        <w:rPr>
          <w:rFonts w:asciiTheme="majorBidi" w:eastAsia="Times New Roman" w:hAnsiTheme="majorBidi" w:cstheme="majorBidi"/>
          <w:i/>
          <w:iCs/>
          <w:color w:val="0C0C0C"/>
          <w:spacing w:val="2"/>
          <w:position w:val="5"/>
          <w:lang w:eastAsia="ru-RU"/>
        </w:rPr>
        <w:t>aʿnā</w:t>
      </w:r>
      <w:proofErr w:type="spellEnd"/>
      <w:r w:rsidR="00270862">
        <w:rPr>
          <w:rFonts w:asciiTheme="majorBidi" w:eastAsia="Times New Roman" w:hAnsiTheme="majorBidi" w:cstheme="majorBidi"/>
          <w:color w:val="0C0C0C"/>
          <w:spacing w:val="2"/>
          <w:position w:val="5"/>
          <w:lang w:eastAsia="ru-RU"/>
        </w:rPr>
        <w:t xml:space="preserve">. </w:t>
      </w:r>
    </w:p>
    <w:p w14:paraId="59A57700" w14:textId="77777777" w:rsidR="00270862" w:rsidRDefault="00270862" w:rsidP="00C453BC">
      <w:pPr>
        <w:jc w:val="both"/>
        <w:rPr>
          <w:rFonts w:asciiTheme="majorBidi" w:hAnsiTheme="majorBidi" w:cstheme="majorBidi"/>
          <w:szCs w:val="20"/>
        </w:rPr>
      </w:pPr>
    </w:p>
    <w:p w14:paraId="5E68A9C2" w14:textId="4216B0E4" w:rsidR="00C453BC" w:rsidRPr="002E0261" w:rsidRDefault="00C453BC" w:rsidP="002E0261">
      <w:pPr>
        <w:pStyle w:val="a4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Cs w:val="20"/>
        </w:rPr>
      </w:pPr>
      <w:r>
        <w:rPr>
          <w:rFonts w:asciiTheme="majorBidi" w:hAnsiTheme="majorBidi" w:cstheme="majorBidi"/>
          <w:b/>
          <w:bCs/>
          <w:szCs w:val="20"/>
        </w:rPr>
        <w:lastRenderedPageBreak/>
        <w:t xml:space="preserve">Трехвалентные </w:t>
      </w:r>
      <w:r w:rsidRPr="00322CC7">
        <w:rPr>
          <w:rFonts w:asciiTheme="majorBidi" w:hAnsiTheme="majorBidi" w:cstheme="majorBidi"/>
          <w:b/>
          <w:bCs/>
          <w:szCs w:val="20"/>
        </w:rPr>
        <w:t>глаголы</w:t>
      </w:r>
    </w:p>
    <w:p w14:paraId="150ABFDE" w14:textId="61F630D4" w:rsidR="00D953F8" w:rsidRDefault="00B02459" w:rsidP="00D953F8">
      <w:pPr>
        <w:ind w:firstLine="397"/>
        <w:jc w:val="both"/>
        <w:rPr>
          <w:rFonts w:asciiTheme="majorBidi" w:eastAsia="Times New Roman" w:hAnsiTheme="majorBidi" w:cstheme="majorBidi"/>
          <w:color w:val="0C0C0C"/>
          <w:lang w:eastAsia="ru-RU"/>
        </w:rPr>
      </w:pPr>
      <w:r>
        <w:rPr>
          <w:rFonts w:asciiTheme="majorBidi" w:eastAsia="Times New Roman" w:hAnsiTheme="majorBidi" w:cstheme="majorBidi"/>
          <w:color w:val="0C0C0C"/>
          <w:lang w:eastAsia="ru-RU"/>
        </w:rPr>
        <w:t xml:space="preserve">Трехвалентные глаголы Сибавайхи описывает в </w:t>
      </w:r>
      <w:r>
        <w:rPr>
          <w:rFonts w:asciiTheme="majorBidi" w:eastAsia="Times New Roman" w:hAnsiTheme="majorBidi" w:cstheme="majorBidi"/>
          <w:color w:val="0C0C0C"/>
          <w:lang w:val="en-US" w:eastAsia="ru-RU"/>
        </w:rPr>
        <w:t>XI</w:t>
      </w:r>
      <w:r w:rsidRPr="00B02459">
        <w:rPr>
          <w:rFonts w:asciiTheme="majorBidi" w:eastAsia="Times New Roman" w:hAnsiTheme="majorBidi" w:cstheme="majorBidi"/>
          <w:color w:val="0C0C0C"/>
          <w:lang w:eastAsia="ru-RU"/>
        </w:rPr>
        <w:t xml:space="preserve"> </w:t>
      </w:r>
      <w:r>
        <w:rPr>
          <w:rFonts w:asciiTheme="majorBidi" w:eastAsia="Times New Roman" w:hAnsiTheme="majorBidi" w:cstheme="majorBidi"/>
          <w:color w:val="0C0C0C"/>
          <w:lang w:eastAsia="ru-RU"/>
        </w:rPr>
        <w:t xml:space="preserve">и </w:t>
      </w:r>
      <w:r>
        <w:rPr>
          <w:rFonts w:asciiTheme="majorBidi" w:eastAsia="Times New Roman" w:hAnsiTheme="majorBidi" w:cstheme="majorBidi"/>
          <w:color w:val="0C0C0C"/>
          <w:lang w:val="en-US" w:eastAsia="ru-RU"/>
        </w:rPr>
        <w:t>XII</w:t>
      </w:r>
      <w:r w:rsidRPr="00B02459">
        <w:rPr>
          <w:rFonts w:asciiTheme="majorBidi" w:eastAsia="Times New Roman" w:hAnsiTheme="majorBidi" w:cstheme="majorBidi"/>
          <w:color w:val="0C0C0C"/>
          <w:lang w:eastAsia="ru-RU"/>
        </w:rPr>
        <w:t xml:space="preserve"> </w:t>
      </w:r>
      <w:r>
        <w:rPr>
          <w:rFonts w:asciiTheme="majorBidi" w:eastAsia="Times New Roman" w:hAnsiTheme="majorBidi" w:cstheme="majorBidi"/>
          <w:color w:val="0C0C0C"/>
          <w:lang w:eastAsia="ru-RU"/>
        </w:rPr>
        <w:t>главах «</w:t>
      </w:r>
      <w:proofErr w:type="spellStart"/>
      <w:r>
        <w:rPr>
          <w:rFonts w:asciiTheme="majorBidi" w:eastAsia="Times New Roman" w:hAnsiTheme="majorBidi" w:cstheme="majorBidi"/>
          <w:color w:val="0C0C0C"/>
          <w:lang w:eastAsia="ru-RU"/>
        </w:rPr>
        <w:t>Китаб</w:t>
      </w:r>
      <w:proofErr w:type="spellEnd"/>
      <w:r>
        <w:rPr>
          <w:rFonts w:asciiTheme="majorBidi" w:eastAsia="Times New Roman" w:hAnsiTheme="majorBidi" w:cstheme="majorBidi"/>
          <w:color w:val="0C0C0C"/>
          <w:lang w:eastAsia="ru-RU"/>
        </w:rPr>
        <w:t>»</w:t>
      </w:r>
      <w:r w:rsidR="00B13DE8">
        <w:rPr>
          <w:rFonts w:asciiTheme="majorBidi" w:eastAsia="Times New Roman" w:hAnsiTheme="majorBidi" w:cstheme="majorBidi"/>
          <w:color w:val="0C0C0C"/>
          <w:lang w:eastAsia="ru-RU"/>
        </w:rPr>
        <w:t>. Такие глаголы управляют одним субъектом и двумя объектами. Сибавайхи</w:t>
      </w:r>
      <w:r>
        <w:rPr>
          <w:rFonts w:asciiTheme="majorBidi" w:eastAsia="Times New Roman" w:hAnsiTheme="majorBidi" w:cstheme="majorBidi"/>
          <w:color w:val="0C0C0C"/>
          <w:lang w:eastAsia="ru-RU"/>
        </w:rPr>
        <w:t xml:space="preserve"> делит их на 2 группы</w:t>
      </w:r>
      <w:r w:rsidR="00B13DE8">
        <w:rPr>
          <w:rFonts w:asciiTheme="majorBidi" w:eastAsia="Times New Roman" w:hAnsiTheme="majorBidi" w:cstheme="majorBidi"/>
          <w:color w:val="0C0C0C"/>
          <w:lang w:eastAsia="ru-RU"/>
        </w:rPr>
        <w:t>:</w:t>
      </w:r>
    </w:p>
    <w:p w14:paraId="2727BEBE" w14:textId="77777777" w:rsidR="00CD23AD" w:rsidRDefault="00B02459" w:rsidP="00CD23AD">
      <w:pPr>
        <w:ind w:firstLine="397"/>
        <w:jc w:val="both"/>
        <w:rPr>
          <w:rFonts w:asciiTheme="majorBidi" w:eastAsia="Times New Roman" w:hAnsiTheme="majorBidi" w:cstheme="majorBidi"/>
          <w:color w:val="0C0C0C"/>
          <w:lang w:eastAsia="ru-RU"/>
        </w:rPr>
      </w:pPr>
      <w:r w:rsidRPr="00B02459">
        <w:rPr>
          <w:rFonts w:asciiTheme="majorBidi" w:eastAsia="Times New Roman" w:hAnsiTheme="majorBidi" w:cstheme="majorBidi"/>
          <w:color w:val="0C0C0C"/>
          <w:lang w:eastAsia="ru-RU"/>
        </w:rPr>
        <w:t xml:space="preserve">Первая группа </w:t>
      </w:r>
      <w:r w:rsidR="00C40CD5">
        <w:rPr>
          <w:rFonts w:asciiTheme="majorBidi" w:eastAsia="Times New Roman" w:hAnsiTheme="majorBidi" w:cstheme="majorBidi"/>
          <w:color w:val="0C0C0C"/>
          <w:lang w:eastAsia="ru-RU"/>
        </w:rPr>
        <w:t xml:space="preserve">– </w:t>
      </w:r>
      <w:r w:rsidRPr="00B02459">
        <w:rPr>
          <w:rFonts w:asciiTheme="majorBidi" w:eastAsia="Times New Roman" w:hAnsiTheme="majorBidi" w:cstheme="majorBidi"/>
          <w:color w:val="0C0C0C"/>
          <w:lang w:eastAsia="ru-RU"/>
        </w:rPr>
        <w:t>глаголы, чьи объекты семантически не связаны друг с другом</w:t>
      </w:r>
      <w:r w:rsidR="00C40CD5">
        <w:rPr>
          <w:rFonts w:asciiTheme="majorBidi" w:eastAsia="Times New Roman" w:hAnsiTheme="majorBidi" w:cstheme="majorBidi"/>
          <w:color w:val="0C0C0C"/>
          <w:lang w:eastAsia="ru-RU"/>
        </w:rPr>
        <w:t>. Это г</w:t>
      </w:r>
      <w:r w:rsidRPr="00B02459">
        <w:rPr>
          <w:rFonts w:asciiTheme="majorBidi" w:eastAsia="Times New Roman" w:hAnsiTheme="majorBidi" w:cstheme="majorBidi"/>
          <w:color w:val="0C0C0C"/>
          <w:lang w:eastAsia="ru-RU"/>
        </w:rPr>
        <w:t>лаголы дарения (</w:t>
      </w:r>
      <w:r w:rsidR="00C40CD5">
        <w:rPr>
          <w:rFonts w:asciiTheme="majorBidi" w:eastAsia="Times New Roman" w:hAnsiTheme="majorBidi" w:cstheme="majorBidi"/>
          <w:color w:val="0C0C0C"/>
          <w:lang w:eastAsia="ru-RU"/>
        </w:rPr>
        <w:t xml:space="preserve">например, </w:t>
      </w:r>
      <w:r w:rsidRPr="00B02459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’</w:t>
      </w:r>
      <w:proofErr w:type="spellStart"/>
      <w:r w:rsidRPr="00B02459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a‘ṭā</w:t>
      </w:r>
      <w:proofErr w:type="spellEnd"/>
      <w:r w:rsidRPr="00B02459">
        <w:rPr>
          <w:rFonts w:asciiTheme="majorBidi" w:eastAsia="Times New Roman" w:hAnsiTheme="majorBidi" w:cstheme="majorBidi"/>
          <w:color w:val="0C0C0C"/>
          <w:lang w:eastAsia="ru-RU"/>
        </w:rPr>
        <w:t xml:space="preserve"> «давать»), где </w:t>
      </w:r>
      <w:r w:rsidR="00B13DE8">
        <w:rPr>
          <w:rFonts w:asciiTheme="majorBidi" w:eastAsia="Times New Roman" w:hAnsiTheme="majorBidi" w:cstheme="majorBidi"/>
          <w:color w:val="0C0C0C"/>
          <w:lang w:eastAsia="ru-RU"/>
        </w:rPr>
        <w:t>два объекта</w:t>
      </w:r>
      <w:r w:rsidRPr="00B02459">
        <w:rPr>
          <w:rFonts w:asciiTheme="majorBidi" w:eastAsia="Times New Roman" w:hAnsiTheme="majorBidi" w:cstheme="majorBidi"/>
          <w:color w:val="0C0C0C"/>
          <w:lang w:eastAsia="ru-RU"/>
        </w:rPr>
        <w:t xml:space="preserve"> независимы</w:t>
      </w:r>
      <w:r w:rsidR="00C40CD5">
        <w:rPr>
          <w:rFonts w:asciiTheme="majorBidi" w:eastAsia="Times New Roman" w:hAnsiTheme="majorBidi" w:cstheme="majorBidi"/>
          <w:color w:val="0C0C0C"/>
          <w:lang w:eastAsia="ru-RU"/>
        </w:rPr>
        <w:t xml:space="preserve"> друг от друга</w:t>
      </w:r>
      <w:r w:rsidR="00CD23AD">
        <w:rPr>
          <w:rFonts w:asciiTheme="majorBidi" w:eastAsia="Times New Roman" w:hAnsiTheme="majorBidi" w:cstheme="majorBidi"/>
          <w:color w:val="0C0C0C"/>
          <w:lang w:eastAsia="ru-RU"/>
        </w:rPr>
        <w:t xml:space="preserve">. В предложениях с такими глаголами возможно опущение одного из объектов при наличии контекста. </w:t>
      </w:r>
    </w:p>
    <w:p w14:paraId="3C3BEEBD" w14:textId="50BEE097" w:rsidR="00B02459" w:rsidRPr="00B02459" w:rsidRDefault="00B02459" w:rsidP="00CD23AD">
      <w:pPr>
        <w:ind w:firstLine="397"/>
        <w:jc w:val="both"/>
        <w:rPr>
          <w:rFonts w:asciiTheme="majorBidi" w:eastAsia="Times New Roman" w:hAnsiTheme="majorBidi" w:cstheme="majorBidi"/>
          <w:color w:val="0C0C0C"/>
          <w:lang w:eastAsia="ru-RU"/>
        </w:rPr>
      </w:pPr>
      <w:r w:rsidRPr="00B02459">
        <w:rPr>
          <w:rFonts w:asciiTheme="majorBidi" w:eastAsia="Times New Roman" w:hAnsiTheme="majorBidi" w:cstheme="majorBidi"/>
          <w:color w:val="0C0C0C"/>
          <w:lang w:eastAsia="ru-RU"/>
        </w:rPr>
        <w:t xml:space="preserve">Вторая группа </w:t>
      </w:r>
      <w:r w:rsidR="00C40CD5">
        <w:rPr>
          <w:rFonts w:asciiTheme="majorBidi" w:eastAsia="Times New Roman" w:hAnsiTheme="majorBidi" w:cstheme="majorBidi"/>
          <w:color w:val="0C0C0C"/>
          <w:lang w:eastAsia="ru-RU"/>
        </w:rPr>
        <w:t>– это</w:t>
      </w:r>
      <w:r w:rsidRPr="00B02459">
        <w:rPr>
          <w:rFonts w:asciiTheme="majorBidi" w:eastAsia="Times New Roman" w:hAnsiTheme="majorBidi" w:cstheme="majorBidi"/>
          <w:color w:val="0C0C0C"/>
          <w:lang w:eastAsia="ru-RU"/>
        </w:rPr>
        <w:t xml:space="preserve"> глаголы, </w:t>
      </w:r>
      <w:r w:rsidR="00B13DE8">
        <w:rPr>
          <w:rFonts w:asciiTheme="majorBidi" w:eastAsia="Times New Roman" w:hAnsiTheme="majorBidi" w:cstheme="majorBidi"/>
          <w:color w:val="0C0C0C"/>
          <w:lang w:eastAsia="ru-RU"/>
        </w:rPr>
        <w:t xml:space="preserve">управляющие </w:t>
      </w:r>
      <w:r w:rsidRPr="00B02459">
        <w:rPr>
          <w:rFonts w:asciiTheme="majorBidi" w:eastAsia="Times New Roman" w:hAnsiTheme="majorBidi" w:cstheme="majorBidi"/>
          <w:color w:val="0C0C0C"/>
          <w:lang w:eastAsia="ru-RU"/>
        </w:rPr>
        <w:t>дв</w:t>
      </w:r>
      <w:r w:rsidR="00B13DE8">
        <w:rPr>
          <w:rFonts w:asciiTheme="majorBidi" w:eastAsia="Times New Roman" w:hAnsiTheme="majorBidi" w:cstheme="majorBidi"/>
          <w:color w:val="0C0C0C"/>
          <w:lang w:eastAsia="ru-RU"/>
        </w:rPr>
        <w:t>умя</w:t>
      </w:r>
      <w:r w:rsidRPr="00B02459">
        <w:rPr>
          <w:rFonts w:asciiTheme="majorBidi" w:eastAsia="Times New Roman" w:hAnsiTheme="majorBidi" w:cstheme="majorBidi"/>
          <w:color w:val="0C0C0C"/>
          <w:lang w:eastAsia="ru-RU"/>
        </w:rPr>
        <w:t xml:space="preserve"> объекта</w:t>
      </w:r>
      <w:r w:rsidR="00B13DE8">
        <w:rPr>
          <w:rFonts w:asciiTheme="majorBidi" w:eastAsia="Times New Roman" w:hAnsiTheme="majorBidi" w:cstheme="majorBidi"/>
          <w:color w:val="0C0C0C"/>
          <w:lang w:eastAsia="ru-RU"/>
        </w:rPr>
        <w:t>ми,</w:t>
      </w:r>
      <w:r w:rsidRPr="00B02459">
        <w:rPr>
          <w:rFonts w:asciiTheme="majorBidi" w:eastAsia="Times New Roman" w:hAnsiTheme="majorBidi" w:cstheme="majorBidi"/>
          <w:color w:val="0C0C0C"/>
          <w:lang w:eastAsia="ru-RU"/>
        </w:rPr>
        <w:t xml:space="preserve"> </w:t>
      </w:r>
      <w:r w:rsidR="00B13DE8">
        <w:rPr>
          <w:rFonts w:asciiTheme="majorBidi" w:eastAsia="Times New Roman" w:hAnsiTheme="majorBidi" w:cstheme="majorBidi"/>
          <w:color w:val="0C0C0C"/>
          <w:lang w:eastAsia="ru-RU"/>
        </w:rPr>
        <w:t>которы</w:t>
      </w:r>
      <w:r w:rsidR="00CD23AD">
        <w:rPr>
          <w:rFonts w:asciiTheme="majorBidi" w:eastAsia="Times New Roman" w:hAnsiTheme="majorBidi" w:cstheme="majorBidi"/>
          <w:color w:val="0C0C0C"/>
          <w:lang w:eastAsia="ru-RU"/>
        </w:rPr>
        <w:t>е</w:t>
      </w:r>
      <w:r w:rsidR="00B13DE8">
        <w:rPr>
          <w:rFonts w:asciiTheme="majorBidi" w:eastAsia="Times New Roman" w:hAnsiTheme="majorBidi" w:cstheme="majorBidi"/>
          <w:color w:val="0C0C0C"/>
          <w:lang w:eastAsia="ru-RU"/>
        </w:rPr>
        <w:t xml:space="preserve"> </w:t>
      </w:r>
      <w:r w:rsidR="00C40CD5">
        <w:rPr>
          <w:rFonts w:asciiTheme="majorBidi" w:eastAsia="Times New Roman" w:hAnsiTheme="majorBidi" w:cstheme="majorBidi"/>
          <w:color w:val="0C0C0C"/>
          <w:lang w:eastAsia="ru-RU"/>
        </w:rPr>
        <w:t>могут быть возведены к подлежащему и сказуемому именного предложения. К этой группе</w:t>
      </w:r>
      <w:r w:rsidRPr="00B02459">
        <w:rPr>
          <w:rFonts w:asciiTheme="majorBidi" w:eastAsia="Times New Roman" w:hAnsiTheme="majorBidi" w:cstheme="majorBidi"/>
          <w:color w:val="0C0C0C"/>
          <w:lang w:eastAsia="ru-RU"/>
        </w:rPr>
        <w:t xml:space="preserve"> относятся глаголы внутренних чувств (</w:t>
      </w:r>
      <w:r w:rsidRPr="00B02459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’</w:t>
      </w:r>
      <w:proofErr w:type="spellStart"/>
      <w:r w:rsidRPr="00B02459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af‘āl</w:t>
      </w:r>
      <w:proofErr w:type="spellEnd"/>
      <w:r w:rsidRPr="00B02459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 xml:space="preserve"> </w:t>
      </w:r>
      <w:proofErr w:type="spellStart"/>
      <w:r w:rsidRPr="00B02459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al-qulūb</w:t>
      </w:r>
      <w:proofErr w:type="spellEnd"/>
      <w:r w:rsidRPr="00B02459">
        <w:rPr>
          <w:rFonts w:asciiTheme="majorBidi" w:eastAsia="Times New Roman" w:hAnsiTheme="majorBidi" w:cstheme="majorBidi"/>
          <w:color w:val="0C0C0C"/>
          <w:lang w:eastAsia="ru-RU"/>
        </w:rPr>
        <w:t>) и глаголы превращения (</w:t>
      </w:r>
      <w:r w:rsidRPr="00B02459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’</w:t>
      </w:r>
      <w:proofErr w:type="spellStart"/>
      <w:r w:rsidRPr="00B02459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af‘āl</w:t>
      </w:r>
      <w:proofErr w:type="spellEnd"/>
      <w:r w:rsidRPr="00B02459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 xml:space="preserve"> </w:t>
      </w:r>
      <w:proofErr w:type="spellStart"/>
      <w:r w:rsidRPr="00B02459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al-taḥwīl</w:t>
      </w:r>
      <w:proofErr w:type="spellEnd"/>
      <w:r w:rsidRPr="00B02459">
        <w:rPr>
          <w:rFonts w:asciiTheme="majorBidi" w:eastAsia="Times New Roman" w:hAnsiTheme="majorBidi" w:cstheme="majorBidi"/>
          <w:color w:val="0C0C0C"/>
          <w:lang w:eastAsia="ru-RU"/>
        </w:rPr>
        <w:t>)</w:t>
      </w:r>
      <w:r w:rsidR="00CD23AD">
        <w:rPr>
          <w:rFonts w:asciiTheme="majorBidi" w:eastAsia="Times New Roman" w:hAnsiTheme="majorBidi" w:cstheme="majorBidi"/>
          <w:color w:val="0C0C0C"/>
          <w:lang w:eastAsia="ru-RU"/>
        </w:rPr>
        <w:t>. Так как объекты таких глаголов</w:t>
      </w:r>
      <w:r w:rsidRPr="00B02459">
        <w:rPr>
          <w:rFonts w:asciiTheme="majorBidi" w:eastAsia="Times New Roman" w:hAnsiTheme="majorBidi" w:cstheme="majorBidi"/>
          <w:color w:val="0C0C0C"/>
          <w:lang w:eastAsia="ru-RU"/>
        </w:rPr>
        <w:t xml:space="preserve"> образуют предикативную связ</w:t>
      </w:r>
      <w:r w:rsidR="00E057BD">
        <w:rPr>
          <w:rFonts w:asciiTheme="majorBidi" w:eastAsia="Times New Roman" w:hAnsiTheme="majorBidi" w:cstheme="majorBidi"/>
          <w:color w:val="0C0C0C"/>
          <w:lang w:eastAsia="ru-RU"/>
        </w:rPr>
        <w:t>ь</w:t>
      </w:r>
      <w:r w:rsidR="00CD23AD">
        <w:rPr>
          <w:rFonts w:asciiTheme="majorBidi" w:eastAsia="Times New Roman" w:hAnsiTheme="majorBidi" w:cstheme="majorBidi"/>
          <w:color w:val="0C0C0C"/>
          <w:lang w:eastAsia="ru-RU"/>
        </w:rPr>
        <w:t xml:space="preserve">, опущение одного из них строго невозможно. </w:t>
      </w:r>
    </w:p>
    <w:p w14:paraId="7EBDB80B" w14:textId="0D7593C6" w:rsidR="007C0679" w:rsidRPr="00B02459" w:rsidRDefault="007C0679" w:rsidP="002E0261">
      <w:pPr>
        <w:ind w:firstLine="397"/>
        <w:jc w:val="both"/>
        <w:rPr>
          <w:rFonts w:asciiTheme="majorBidi" w:eastAsia="Times New Roman" w:hAnsiTheme="majorBidi" w:cstheme="majorBidi"/>
          <w:color w:val="0C0C0C"/>
          <w:lang w:eastAsia="ru-RU"/>
        </w:rPr>
      </w:pPr>
    </w:p>
    <w:p w14:paraId="74F5B98A" w14:textId="0AC42B21" w:rsidR="002E0261" w:rsidRPr="00E27691" w:rsidRDefault="002E0261" w:rsidP="00E27691">
      <w:pPr>
        <w:pStyle w:val="a4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Cs w:val="20"/>
        </w:rPr>
      </w:pPr>
      <w:r>
        <w:rPr>
          <w:rFonts w:asciiTheme="majorBidi" w:hAnsiTheme="majorBidi" w:cstheme="majorBidi"/>
          <w:b/>
          <w:bCs/>
          <w:szCs w:val="20"/>
        </w:rPr>
        <w:t xml:space="preserve">Четырехвалентные </w:t>
      </w:r>
      <w:r w:rsidRPr="00322CC7">
        <w:rPr>
          <w:rFonts w:asciiTheme="majorBidi" w:hAnsiTheme="majorBidi" w:cstheme="majorBidi"/>
          <w:b/>
          <w:bCs/>
          <w:szCs w:val="20"/>
        </w:rPr>
        <w:t xml:space="preserve">глаголы </w:t>
      </w:r>
    </w:p>
    <w:p w14:paraId="00223F33" w14:textId="044F5152" w:rsidR="00794B36" w:rsidRDefault="00E27691" w:rsidP="00DA5F67">
      <w:pPr>
        <w:ind w:firstLine="397"/>
        <w:jc w:val="both"/>
        <w:rPr>
          <w:rFonts w:asciiTheme="majorBidi" w:eastAsia="Times New Roman" w:hAnsiTheme="majorBidi" w:cstheme="majorBidi"/>
          <w:color w:val="0C0C0C"/>
          <w:lang w:eastAsia="ru-RU"/>
        </w:rPr>
      </w:pPr>
      <w:r w:rsidRPr="00E27691">
        <w:rPr>
          <w:rFonts w:asciiTheme="majorBidi" w:eastAsia="Times New Roman" w:hAnsiTheme="majorBidi" w:cstheme="majorBidi"/>
          <w:color w:val="0C0C0C"/>
          <w:lang w:eastAsia="ru-RU"/>
        </w:rPr>
        <w:t>Вершиной транзитивной иерархии</w:t>
      </w:r>
      <w:r w:rsidR="0013355B">
        <w:rPr>
          <w:rFonts w:asciiTheme="majorBidi" w:eastAsia="Times New Roman" w:hAnsiTheme="majorBidi" w:cstheme="majorBidi"/>
          <w:color w:val="0C0C0C"/>
          <w:lang w:eastAsia="ru-RU"/>
        </w:rPr>
        <w:t xml:space="preserve"> у Сибавайхи</w:t>
      </w:r>
      <w:r w:rsidRPr="00E27691">
        <w:rPr>
          <w:rFonts w:asciiTheme="majorBidi" w:eastAsia="Times New Roman" w:hAnsiTheme="majorBidi" w:cstheme="majorBidi"/>
          <w:color w:val="0C0C0C"/>
          <w:lang w:eastAsia="ru-RU"/>
        </w:rPr>
        <w:t xml:space="preserve"> являются глаголы, управляющие </w:t>
      </w:r>
      <w:r w:rsidR="00E655B9">
        <w:rPr>
          <w:rFonts w:asciiTheme="majorBidi" w:eastAsia="Times New Roman" w:hAnsiTheme="majorBidi" w:cstheme="majorBidi"/>
          <w:color w:val="0C0C0C"/>
          <w:lang w:eastAsia="ru-RU"/>
        </w:rPr>
        <w:t xml:space="preserve">одним субъектом и </w:t>
      </w:r>
      <w:r w:rsidRPr="00E27691">
        <w:rPr>
          <w:rFonts w:asciiTheme="majorBidi" w:eastAsia="Times New Roman" w:hAnsiTheme="majorBidi" w:cstheme="majorBidi"/>
          <w:color w:val="0C0C0C"/>
          <w:lang w:eastAsia="ru-RU"/>
        </w:rPr>
        <w:t>тремя прямыми дополнениями</w:t>
      </w:r>
      <w:r>
        <w:rPr>
          <w:rFonts w:asciiTheme="majorBidi" w:eastAsia="Times New Roman" w:hAnsiTheme="majorBidi" w:cstheme="majorBidi"/>
          <w:color w:val="0C0C0C"/>
          <w:lang w:eastAsia="ru-RU"/>
        </w:rPr>
        <w:t>, например:</w:t>
      </w:r>
      <w:r w:rsidRPr="00E27691">
        <w:rPr>
          <w:rFonts w:asciiTheme="majorBidi" w:eastAsia="Times New Roman" w:hAnsiTheme="majorBidi" w:cstheme="majorBidi"/>
          <w:color w:val="0C0C0C"/>
          <w:lang w:eastAsia="ru-RU"/>
        </w:rPr>
        <w:t xml:space="preserve"> </w:t>
      </w:r>
      <w:r w:rsidRPr="00E27691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’</w:t>
      </w:r>
      <w:proofErr w:type="spellStart"/>
      <w:r w:rsidRPr="00E27691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a‘lama</w:t>
      </w:r>
      <w:proofErr w:type="spellEnd"/>
      <w:r w:rsidRPr="00E27691">
        <w:rPr>
          <w:rFonts w:asciiTheme="majorBidi" w:eastAsia="Times New Roman" w:hAnsiTheme="majorBidi" w:cstheme="majorBidi"/>
          <w:color w:val="0C0C0C"/>
          <w:lang w:eastAsia="ru-RU"/>
        </w:rPr>
        <w:t xml:space="preserve"> «уведомлять», </w:t>
      </w:r>
      <w:r w:rsidRPr="00E27691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’</w:t>
      </w:r>
      <w:proofErr w:type="spellStart"/>
      <w:r w:rsidRPr="00E27691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arā</w:t>
      </w:r>
      <w:proofErr w:type="spellEnd"/>
      <w:r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 xml:space="preserve"> </w:t>
      </w:r>
      <w:r w:rsidRPr="00E27691">
        <w:rPr>
          <w:rFonts w:asciiTheme="majorBidi" w:eastAsia="Times New Roman" w:hAnsiTheme="majorBidi" w:cstheme="majorBidi"/>
          <w:color w:val="0C0C0C"/>
          <w:lang w:eastAsia="ru-RU"/>
        </w:rPr>
        <w:t>«показывать».</w:t>
      </w:r>
      <w:r>
        <w:rPr>
          <w:rFonts w:asciiTheme="majorBidi" w:eastAsia="Times New Roman" w:hAnsiTheme="majorBidi" w:cstheme="majorBidi"/>
          <w:color w:val="0C0C0C"/>
          <w:lang w:eastAsia="ru-RU"/>
        </w:rPr>
        <w:t xml:space="preserve"> </w:t>
      </w:r>
      <w:r w:rsidR="00D83F72">
        <w:rPr>
          <w:rFonts w:asciiTheme="majorBidi" w:eastAsia="Times New Roman" w:hAnsiTheme="majorBidi" w:cstheme="majorBidi"/>
          <w:color w:val="0C0C0C"/>
          <w:lang w:eastAsia="ru-RU"/>
        </w:rPr>
        <w:t xml:space="preserve">Они </w:t>
      </w:r>
      <w:r w:rsidR="00794B36" w:rsidRPr="00794B36">
        <w:rPr>
          <w:rFonts w:asciiTheme="majorBidi" w:eastAsia="Times New Roman" w:hAnsiTheme="majorBidi" w:cstheme="majorBidi"/>
          <w:color w:val="0C0C0C"/>
          <w:lang w:eastAsia="ru-RU"/>
        </w:rPr>
        <w:t xml:space="preserve">образуются по моделям IV </w:t>
      </w:r>
      <w:r w:rsidR="00794B36" w:rsidRPr="00794B36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’</w:t>
      </w:r>
      <w:proofErr w:type="spellStart"/>
      <w:r w:rsidR="00794B36" w:rsidRPr="00794B36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af‘ala</w:t>
      </w:r>
      <w:proofErr w:type="spellEnd"/>
      <w:r w:rsidR="00794B36" w:rsidRPr="00794B36">
        <w:rPr>
          <w:rFonts w:asciiTheme="majorBidi" w:eastAsia="Times New Roman" w:hAnsiTheme="majorBidi" w:cstheme="majorBidi"/>
          <w:color w:val="0C0C0C"/>
          <w:lang w:eastAsia="ru-RU"/>
        </w:rPr>
        <w:t xml:space="preserve"> или II </w:t>
      </w:r>
      <w:proofErr w:type="spellStart"/>
      <w:r w:rsidR="00794B36" w:rsidRPr="00794B36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fa</w:t>
      </w:r>
      <w:proofErr w:type="spellEnd"/>
      <w:r w:rsidR="00794B36" w:rsidRPr="00794B36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‘‘</w:t>
      </w:r>
      <w:proofErr w:type="spellStart"/>
      <w:r w:rsidR="00794B36" w:rsidRPr="00794B36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ala</w:t>
      </w:r>
      <w:proofErr w:type="spellEnd"/>
      <w:r w:rsidR="00794B36" w:rsidRPr="00794B36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.</w:t>
      </w:r>
      <w:r w:rsidR="00794B36" w:rsidRPr="00794B36">
        <w:rPr>
          <w:rFonts w:asciiTheme="majorBidi" w:eastAsia="Times New Roman" w:hAnsiTheme="majorBidi" w:cstheme="majorBidi"/>
          <w:color w:val="0C0C0C"/>
          <w:lang w:eastAsia="ru-RU"/>
        </w:rPr>
        <w:t> </w:t>
      </w:r>
      <w:proofErr w:type="spellStart"/>
      <w:r w:rsidR="00D83F72">
        <w:rPr>
          <w:rFonts w:asciiTheme="majorBidi" w:eastAsia="Times New Roman" w:hAnsiTheme="majorBidi" w:cstheme="majorBidi"/>
          <w:color w:val="0C0C0C"/>
          <w:lang w:eastAsia="ru-RU"/>
        </w:rPr>
        <w:t>Четырехвалетным</w:t>
      </w:r>
      <w:proofErr w:type="spellEnd"/>
      <w:r w:rsidR="00D83F72">
        <w:rPr>
          <w:rFonts w:asciiTheme="majorBidi" w:eastAsia="Times New Roman" w:hAnsiTheme="majorBidi" w:cstheme="majorBidi"/>
          <w:color w:val="0C0C0C"/>
          <w:lang w:eastAsia="ru-RU"/>
        </w:rPr>
        <w:t xml:space="preserve"> глаголам посвящена </w:t>
      </w:r>
      <w:r w:rsidR="00D83F72">
        <w:rPr>
          <w:rFonts w:asciiTheme="majorBidi" w:eastAsia="Times New Roman" w:hAnsiTheme="majorBidi" w:cstheme="majorBidi"/>
          <w:color w:val="0C0C0C"/>
          <w:lang w:val="en-US" w:eastAsia="ru-RU"/>
        </w:rPr>
        <w:t>XIII</w:t>
      </w:r>
      <w:r w:rsidR="00D83F72">
        <w:rPr>
          <w:rFonts w:asciiTheme="majorBidi" w:eastAsia="Times New Roman" w:hAnsiTheme="majorBidi" w:cstheme="majorBidi"/>
          <w:color w:val="0C0C0C"/>
          <w:lang w:eastAsia="ru-RU"/>
        </w:rPr>
        <w:t xml:space="preserve"> глава «</w:t>
      </w:r>
      <w:proofErr w:type="spellStart"/>
      <w:r w:rsidR="00D83F72">
        <w:rPr>
          <w:rFonts w:asciiTheme="majorBidi" w:eastAsia="Times New Roman" w:hAnsiTheme="majorBidi" w:cstheme="majorBidi"/>
          <w:color w:val="0C0C0C"/>
          <w:lang w:eastAsia="ru-RU"/>
        </w:rPr>
        <w:t>Китаб</w:t>
      </w:r>
      <w:proofErr w:type="spellEnd"/>
      <w:r w:rsidR="00D83F72">
        <w:rPr>
          <w:rFonts w:asciiTheme="majorBidi" w:eastAsia="Times New Roman" w:hAnsiTheme="majorBidi" w:cstheme="majorBidi"/>
          <w:color w:val="0C0C0C"/>
          <w:lang w:eastAsia="ru-RU"/>
        </w:rPr>
        <w:t>».</w:t>
      </w:r>
    </w:p>
    <w:p w14:paraId="2831E7CD" w14:textId="55700DB7" w:rsidR="00CD5E56" w:rsidRDefault="00DA5F67" w:rsidP="00AF77E9">
      <w:pPr>
        <w:ind w:firstLine="397"/>
        <w:jc w:val="both"/>
        <w:rPr>
          <w:rFonts w:asciiTheme="majorBidi" w:eastAsia="Times New Roman" w:hAnsiTheme="majorBidi" w:cstheme="majorBidi"/>
          <w:color w:val="0C0C0C"/>
          <w:lang w:eastAsia="ru-RU"/>
        </w:rPr>
      </w:pPr>
      <w:r>
        <w:rPr>
          <w:rFonts w:asciiTheme="majorBidi" w:eastAsia="Times New Roman" w:hAnsiTheme="majorBidi" w:cstheme="majorBidi" w:hint="eastAsia"/>
          <w:color w:val="0C0C0C"/>
          <w:lang w:eastAsia="ru-RU"/>
        </w:rPr>
        <w:t>О</w:t>
      </w:r>
      <w:r>
        <w:rPr>
          <w:rFonts w:asciiTheme="majorBidi" w:eastAsia="Times New Roman" w:hAnsiTheme="majorBidi" w:cstheme="majorBidi"/>
          <w:color w:val="0C0C0C"/>
          <w:lang w:eastAsia="ru-RU"/>
        </w:rPr>
        <w:t>дним из</w:t>
      </w:r>
      <w:r w:rsidR="00794B36" w:rsidRPr="00794B36">
        <w:rPr>
          <w:rFonts w:asciiTheme="majorBidi" w:eastAsia="Times New Roman" w:hAnsiTheme="majorBidi" w:cstheme="majorBidi" w:hint="eastAsia"/>
          <w:color w:val="0C0C0C"/>
          <w:lang w:eastAsia="ru-RU"/>
        </w:rPr>
        <w:t xml:space="preserve"> теоретически</w:t>
      </w:r>
      <w:r>
        <w:rPr>
          <w:rFonts w:asciiTheme="majorBidi" w:eastAsia="Times New Roman" w:hAnsiTheme="majorBidi" w:cstheme="majorBidi" w:hint="eastAsia"/>
          <w:color w:val="0C0C0C"/>
          <w:lang w:eastAsia="ru-RU"/>
        </w:rPr>
        <w:t>х</w:t>
      </w:r>
      <w:r>
        <w:rPr>
          <w:rFonts w:asciiTheme="majorBidi" w:eastAsia="Times New Roman" w:hAnsiTheme="majorBidi" w:cstheme="majorBidi"/>
          <w:color w:val="0C0C0C"/>
          <w:lang w:eastAsia="ru-RU"/>
        </w:rPr>
        <w:t xml:space="preserve"> вопросов</w:t>
      </w:r>
      <w:r w:rsidR="00794B36" w:rsidRPr="00794B36">
        <w:rPr>
          <w:rFonts w:asciiTheme="majorBidi" w:eastAsia="Times New Roman" w:hAnsiTheme="majorBidi" w:cstheme="majorBidi" w:hint="eastAsia"/>
          <w:color w:val="0C0C0C"/>
          <w:lang w:eastAsia="ru-RU"/>
        </w:rPr>
        <w:t xml:space="preserve"> главы </w:t>
      </w:r>
      <w:r w:rsidR="00FF186E">
        <w:rPr>
          <w:rFonts w:asciiTheme="majorBidi" w:eastAsia="Times New Roman" w:hAnsiTheme="majorBidi" w:cstheme="majorBidi"/>
          <w:color w:val="0C0C0C"/>
          <w:lang w:val="en-US" w:eastAsia="ru-RU"/>
        </w:rPr>
        <w:t>XIII</w:t>
      </w:r>
      <w:r w:rsidR="00FF186E" w:rsidRPr="00794B36">
        <w:rPr>
          <w:rFonts w:asciiTheme="majorBidi" w:eastAsia="Times New Roman" w:hAnsiTheme="majorBidi" w:cstheme="majorBidi" w:hint="eastAsia"/>
          <w:color w:val="0C0C0C"/>
          <w:lang w:eastAsia="ru-RU"/>
        </w:rPr>
        <w:t xml:space="preserve"> </w:t>
      </w:r>
      <w:r w:rsidR="00794B36" w:rsidRPr="00794B36">
        <w:rPr>
          <w:rFonts w:asciiTheme="majorBidi" w:eastAsia="Times New Roman" w:hAnsiTheme="majorBidi" w:cstheme="majorBidi" w:hint="eastAsia"/>
          <w:color w:val="0C0C0C"/>
          <w:lang w:eastAsia="ru-RU"/>
        </w:rPr>
        <w:t xml:space="preserve">является допустимость опущения дополнений. </w:t>
      </w:r>
      <w:r w:rsidR="00FF186E" w:rsidRPr="00FF186E">
        <w:rPr>
          <w:rFonts w:asciiTheme="majorBidi" w:eastAsia="Times New Roman" w:hAnsiTheme="majorBidi" w:cstheme="majorBidi"/>
          <w:color w:val="0C0C0C"/>
          <w:lang w:eastAsia="ru-RU"/>
        </w:rPr>
        <w:t xml:space="preserve">Сибавайхи прямо подчёркивает обязательность </w:t>
      </w:r>
      <w:r>
        <w:rPr>
          <w:rFonts w:asciiTheme="majorBidi" w:eastAsia="Times New Roman" w:hAnsiTheme="majorBidi" w:cstheme="majorBidi"/>
          <w:color w:val="0C0C0C"/>
          <w:lang w:eastAsia="ru-RU"/>
        </w:rPr>
        <w:t xml:space="preserve">наличия </w:t>
      </w:r>
      <w:r w:rsidR="00FF186E" w:rsidRPr="00FF186E">
        <w:rPr>
          <w:rFonts w:asciiTheme="majorBidi" w:eastAsia="Times New Roman" w:hAnsiTheme="majorBidi" w:cstheme="majorBidi"/>
          <w:color w:val="0C0C0C"/>
          <w:lang w:eastAsia="ru-RU"/>
        </w:rPr>
        <w:t>всех трёх дополнений при таких глаголах: «нельзя ограничиться одним из этих дополнений, не употребив все три»</w:t>
      </w:r>
      <w:r w:rsidR="00CD23AD">
        <w:rPr>
          <w:rFonts w:asciiTheme="majorBidi" w:eastAsia="Times New Roman" w:hAnsiTheme="majorBidi" w:cstheme="majorBidi"/>
          <w:color w:val="0C0C0C"/>
          <w:lang w:eastAsia="ru-RU"/>
        </w:rPr>
        <w:t xml:space="preserve"> </w:t>
      </w:r>
      <w:proofErr w:type="spellStart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wa-lā</w:t>
      </w:r>
      <w:proofErr w:type="spellEnd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 xml:space="preserve"> </w:t>
      </w:r>
      <w:proofErr w:type="spellStart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yajūzu</w:t>
      </w:r>
      <w:proofErr w:type="spellEnd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 xml:space="preserve"> </w:t>
      </w:r>
      <w:proofErr w:type="spellStart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an</w:t>
      </w:r>
      <w:proofErr w:type="spellEnd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 xml:space="preserve"> </w:t>
      </w:r>
      <w:proofErr w:type="spellStart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taqtaṣira</w:t>
      </w:r>
      <w:proofErr w:type="spellEnd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 xml:space="preserve"> </w:t>
      </w:r>
      <w:proofErr w:type="spellStart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ʿalā</w:t>
      </w:r>
      <w:proofErr w:type="spellEnd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 xml:space="preserve"> </w:t>
      </w:r>
      <w:proofErr w:type="spellStart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mafʿūlin</w:t>
      </w:r>
      <w:proofErr w:type="spellEnd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 xml:space="preserve"> </w:t>
      </w:r>
      <w:proofErr w:type="spellStart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minhum</w:t>
      </w:r>
      <w:proofErr w:type="spellEnd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 xml:space="preserve"> </w:t>
      </w:r>
      <w:proofErr w:type="spellStart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wāḥidin</w:t>
      </w:r>
      <w:proofErr w:type="spellEnd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 xml:space="preserve"> </w:t>
      </w:r>
      <w:proofErr w:type="spellStart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dūna</w:t>
      </w:r>
      <w:proofErr w:type="spellEnd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 xml:space="preserve"> </w:t>
      </w:r>
      <w:proofErr w:type="spellStart"/>
      <w:r w:rsidR="00CD23AD" w:rsidRPr="00FF186E">
        <w:rPr>
          <w:rFonts w:asciiTheme="majorBidi" w:eastAsia="Times New Roman" w:hAnsiTheme="majorBidi" w:cstheme="majorBidi"/>
          <w:i/>
          <w:iCs/>
          <w:color w:val="0C0C0C"/>
          <w:lang w:eastAsia="ru-RU"/>
        </w:rPr>
        <w:t>th-thalātha</w:t>
      </w:r>
      <w:proofErr w:type="spellEnd"/>
      <w:r w:rsidR="00FF186E" w:rsidRPr="00FF186E">
        <w:rPr>
          <w:rFonts w:asciiTheme="majorBidi" w:eastAsia="Times New Roman" w:hAnsiTheme="majorBidi" w:cstheme="majorBidi"/>
          <w:color w:val="0C0C0C"/>
          <w:lang w:eastAsia="ru-RU"/>
        </w:rPr>
        <w:t>.</w:t>
      </w:r>
      <w:r w:rsidR="00CD5E56">
        <w:rPr>
          <w:rFonts w:asciiTheme="majorBidi" w:eastAsia="Times New Roman" w:hAnsiTheme="majorBidi" w:cstheme="majorBidi"/>
          <w:color w:val="0C0C0C"/>
          <w:lang w:eastAsia="ru-RU"/>
        </w:rPr>
        <w:t xml:space="preserve"> </w:t>
      </w:r>
      <w:r w:rsidR="00CD5E56" w:rsidRPr="00CD5E56">
        <w:rPr>
          <w:rFonts w:asciiTheme="majorBidi" w:eastAsia="Times New Roman" w:hAnsiTheme="majorBidi" w:cstheme="majorBidi"/>
          <w:color w:val="0C0C0C"/>
          <w:lang w:eastAsia="ru-RU"/>
        </w:rPr>
        <w:t>Традиционно это высказывание трактовалось как жесткий запрет на любой эллипсис.</w:t>
      </w:r>
      <w:r w:rsidR="00D83F72">
        <w:rPr>
          <w:rFonts w:asciiTheme="majorBidi" w:eastAsia="Times New Roman" w:hAnsiTheme="majorBidi" w:cstheme="majorBidi"/>
          <w:color w:val="0C0C0C"/>
          <w:lang w:eastAsia="ru-RU"/>
        </w:rPr>
        <w:t xml:space="preserve"> </w:t>
      </w:r>
      <w:r w:rsidR="00CD5E56" w:rsidRPr="00CD5E56">
        <w:rPr>
          <w:rFonts w:asciiTheme="majorBidi" w:eastAsia="Times New Roman" w:hAnsiTheme="majorBidi" w:cstheme="majorBidi"/>
          <w:color w:val="0C0C0C"/>
          <w:lang w:eastAsia="ru-RU"/>
        </w:rPr>
        <w:t>Однако комментаторы «</w:t>
      </w:r>
      <w:proofErr w:type="spellStart"/>
      <w:r w:rsidR="00CD5E56" w:rsidRPr="00CD5E56">
        <w:rPr>
          <w:rFonts w:asciiTheme="majorBidi" w:eastAsia="Times New Roman" w:hAnsiTheme="majorBidi" w:cstheme="majorBidi"/>
          <w:color w:val="0C0C0C"/>
          <w:lang w:eastAsia="ru-RU"/>
        </w:rPr>
        <w:t>Китаб</w:t>
      </w:r>
      <w:proofErr w:type="spellEnd"/>
      <w:r w:rsidR="00CD5E56" w:rsidRPr="00CD5E56">
        <w:rPr>
          <w:rFonts w:asciiTheme="majorBidi" w:eastAsia="Times New Roman" w:hAnsiTheme="majorBidi" w:cstheme="majorBidi"/>
          <w:color w:val="0C0C0C"/>
          <w:lang w:eastAsia="ru-RU"/>
        </w:rPr>
        <w:t xml:space="preserve">» уточняют, что запрет касается прежде всего </w:t>
      </w:r>
      <w:r w:rsidR="00AF77E9">
        <w:rPr>
          <w:rFonts w:asciiTheme="majorBidi" w:eastAsia="Times New Roman" w:hAnsiTheme="majorBidi" w:cstheme="majorBidi"/>
          <w:color w:val="0C0C0C"/>
          <w:lang w:eastAsia="ru-RU"/>
        </w:rPr>
        <w:t xml:space="preserve">опущения второго и третьего объекта по отдельности. </w:t>
      </w:r>
    </w:p>
    <w:p w14:paraId="513B2F99" w14:textId="669DE0B7" w:rsidR="00DA5F67" w:rsidRPr="00CD5E56" w:rsidRDefault="00DA5F67" w:rsidP="00D83F72">
      <w:pPr>
        <w:jc w:val="both"/>
        <w:rPr>
          <w:rFonts w:asciiTheme="majorBidi" w:eastAsia="Times New Roman" w:hAnsiTheme="majorBidi" w:cstheme="majorBidi"/>
          <w:color w:val="0C0C0C"/>
          <w:lang w:eastAsia="ru-RU"/>
        </w:rPr>
      </w:pPr>
    </w:p>
    <w:p w14:paraId="1FD2EF46" w14:textId="71F63214" w:rsidR="00552B30" w:rsidRDefault="00DB27B5" w:rsidP="001F56AE">
      <w:pPr>
        <w:jc w:val="both"/>
        <w:rPr>
          <w:rFonts w:asciiTheme="majorBidi" w:eastAsia="Times New Roman" w:hAnsiTheme="majorBidi" w:cstheme="majorBidi"/>
          <w:b/>
          <w:bCs/>
          <w:color w:val="0C0C0C"/>
          <w:lang w:eastAsia="ru-RU"/>
        </w:rPr>
      </w:pPr>
      <w:r w:rsidRPr="00DB27B5">
        <w:rPr>
          <w:rFonts w:asciiTheme="majorBidi" w:eastAsia="Times New Roman" w:hAnsiTheme="majorBidi" w:cstheme="majorBidi"/>
          <w:b/>
          <w:bCs/>
          <w:color w:val="0C0C0C"/>
          <w:lang w:eastAsia="ru-RU"/>
        </w:rPr>
        <w:t>Список литературы:</w:t>
      </w:r>
    </w:p>
    <w:p w14:paraId="025276F6" w14:textId="30AA5F30" w:rsidR="00552B30" w:rsidRDefault="00552B30" w:rsidP="00552B30">
      <w:pPr>
        <w:jc w:val="both"/>
        <w:rPr>
          <w:rFonts w:asciiTheme="majorBidi" w:eastAsia="Times New Roman" w:hAnsiTheme="majorBidi" w:cstheme="majorBidi"/>
          <w:b/>
          <w:bCs/>
          <w:color w:val="0C0C0C"/>
          <w:lang w:eastAsia="ru-RU"/>
        </w:rPr>
      </w:pPr>
    </w:p>
    <w:p w14:paraId="12CA178E" w14:textId="7C28946F" w:rsidR="00D83F72" w:rsidRPr="00D83F72" w:rsidRDefault="00D83F72" w:rsidP="00D83F72">
      <w:pPr>
        <w:pStyle w:val="A5"/>
        <w:numPr>
          <w:ilvl w:val="0"/>
          <w:numId w:val="11"/>
        </w:numPr>
        <w:ind w:left="0" w:firstLine="0"/>
        <w:rPr>
          <w:rFonts w:asciiTheme="majorBidi" w:hAnsiTheme="majorBidi" w:cstheme="majorBidi"/>
          <w:sz w:val="24"/>
          <w:szCs w:val="24"/>
        </w:rPr>
      </w:pPr>
      <w:proofErr w:type="spellStart"/>
      <w:r w:rsidRPr="00D83F72">
        <w:rPr>
          <w:rFonts w:asciiTheme="majorBidi" w:hAnsiTheme="majorBidi" w:cstheme="majorBidi"/>
          <w:sz w:val="24"/>
          <w:szCs w:val="24"/>
        </w:rPr>
        <w:t>Нахр</w:t>
      </w:r>
      <w:proofErr w:type="spellEnd"/>
      <w:r w:rsidRPr="00D83F72">
        <w:rPr>
          <w:rFonts w:asciiTheme="majorBidi" w:hAnsiTheme="majorBidi" w:cstheme="majorBidi"/>
          <w:sz w:val="24"/>
          <w:szCs w:val="24"/>
        </w:rPr>
        <w:t xml:space="preserve">, Х. </w:t>
      </w:r>
      <w:proofErr w:type="spellStart"/>
      <w:r w:rsidRPr="00D83F72">
        <w:rPr>
          <w:rFonts w:asciiTheme="majorBidi" w:hAnsiTheme="majorBidi" w:cstheme="majorBidi"/>
          <w:sz w:val="24"/>
          <w:szCs w:val="24"/>
        </w:rPr>
        <w:t>Аш-Шарх</w:t>
      </w:r>
      <w:proofErr w:type="spellEnd"/>
      <w:r w:rsidRPr="00D83F72">
        <w:rPr>
          <w:rFonts w:asciiTheme="majorBidi" w:hAnsiTheme="majorBidi" w:cstheme="majorBidi"/>
          <w:sz w:val="24"/>
          <w:szCs w:val="24"/>
        </w:rPr>
        <w:t xml:space="preserve"> аль-</w:t>
      </w:r>
      <w:proofErr w:type="spellStart"/>
      <w:r w:rsidRPr="00D83F72">
        <w:rPr>
          <w:rFonts w:asciiTheme="majorBidi" w:hAnsiTheme="majorBidi" w:cstheme="majorBidi"/>
          <w:sz w:val="24"/>
          <w:szCs w:val="24"/>
        </w:rPr>
        <w:t>му‘асир</w:t>
      </w:r>
      <w:proofErr w:type="spellEnd"/>
      <w:r w:rsidRPr="00D83F72">
        <w:rPr>
          <w:rFonts w:asciiTheme="majorBidi" w:hAnsiTheme="majorBidi" w:cstheme="majorBidi"/>
          <w:sz w:val="24"/>
          <w:szCs w:val="24"/>
        </w:rPr>
        <w:t xml:space="preserve"> ли-</w:t>
      </w:r>
      <w:proofErr w:type="spellStart"/>
      <w:r w:rsidRPr="00D83F72">
        <w:rPr>
          <w:rFonts w:asciiTheme="majorBidi" w:hAnsiTheme="majorBidi" w:cstheme="majorBidi"/>
          <w:sz w:val="24"/>
          <w:szCs w:val="24"/>
        </w:rPr>
        <w:t>китаб</w:t>
      </w:r>
      <w:proofErr w:type="spellEnd"/>
      <w:r w:rsidRPr="00D83F72">
        <w:rPr>
          <w:rFonts w:asciiTheme="majorBidi" w:hAnsiTheme="majorBidi" w:cstheme="majorBidi"/>
          <w:sz w:val="24"/>
          <w:szCs w:val="24"/>
        </w:rPr>
        <w:t xml:space="preserve"> Сибав</w:t>
      </w:r>
      <w:r>
        <w:rPr>
          <w:rFonts w:asciiTheme="majorBidi" w:hAnsiTheme="majorBidi" w:cstheme="majorBidi"/>
          <w:sz w:val="24"/>
          <w:szCs w:val="24"/>
        </w:rPr>
        <w:t>а</w:t>
      </w:r>
      <w:r w:rsidRPr="00D83F72">
        <w:rPr>
          <w:rFonts w:asciiTheme="majorBidi" w:hAnsiTheme="majorBidi" w:cstheme="majorBidi"/>
          <w:sz w:val="24"/>
          <w:szCs w:val="24"/>
        </w:rPr>
        <w:t xml:space="preserve">йхи [Современный комментарий к «Книге» </w:t>
      </w:r>
      <w:proofErr w:type="spellStart"/>
      <w:r w:rsidRPr="00D83F72">
        <w:rPr>
          <w:rFonts w:asciiTheme="majorBidi" w:hAnsiTheme="majorBidi" w:cstheme="majorBidi"/>
          <w:sz w:val="24"/>
          <w:szCs w:val="24"/>
        </w:rPr>
        <w:t>Сибавейхи</w:t>
      </w:r>
      <w:proofErr w:type="spellEnd"/>
      <w:r w:rsidRPr="00D83F72">
        <w:rPr>
          <w:rFonts w:asciiTheme="majorBidi" w:hAnsiTheme="majorBidi" w:cstheme="majorBidi"/>
          <w:sz w:val="24"/>
          <w:szCs w:val="24"/>
        </w:rPr>
        <w:t xml:space="preserve">] / </w:t>
      </w:r>
      <w:proofErr w:type="spellStart"/>
      <w:r w:rsidRPr="00D83F72">
        <w:rPr>
          <w:rFonts w:asciiTheme="majorBidi" w:hAnsiTheme="majorBidi" w:cstheme="majorBidi"/>
          <w:sz w:val="24"/>
          <w:szCs w:val="24"/>
        </w:rPr>
        <w:t>Хади</w:t>
      </w:r>
      <w:proofErr w:type="spellEnd"/>
      <w:r w:rsidRPr="00D83F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F72">
        <w:rPr>
          <w:rFonts w:asciiTheme="majorBidi" w:hAnsiTheme="majorBidi" w:cstheme="majorBidi"/>
          <w:sz w:val="24"/>
          <w:szCs w:val="24"/>
        </w:rPr>
        <w:t>Нахр</w:t>
      </w:r>
      <w:proofErr w:type="spellEnd"/>
      <w:r w:rsidRPr="00D83F72">
        <w:rPr>
          <w:rFonts w:asciiTheme="majorBidi" w:hAnsiTheme="majorBidi" w:cstheme="majorBidi"/>
          <w:sz w:val="24"/>
          <w:szCs w:val="24"/>
        </w:rPr>
        <w:t xml:space="preserve">. — </w:t>
      </w:r>
      <w:proofErr w:type="spellStart"/>
      <w:r w:rsidRPr="00D83F72">
        <w:rPr>
          <w:rFonts w:asciiTheme="majorBidi" w:hAnsiTheme="majorBidi" w:cstheme="majorBidi"/>
          <w:sz w:val="24"/>
          <w:szCs w:val="24"/>
        </w:rPr>
        <w:t>Ирбид</w:t>
      </w:r>
      <w:proofErr w:type="spellEnd"/>
      <w:r w:rsidRPr="00D83F7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D83F72">
        <w:rPr>
          <w:rFonts w:asciiTheme="majorBidi" w:hAnsiTheme="majorBidi" w:cstheme="majorBidi"/>
          <w:sz w:val="24"/>
          <w:szCs w:val="24"/>
        </w:rPr>
        <w:t>Modern</w:t>
      </w:r>
      <w:proofErr w:type="spellEnd"/>
      <w:r w:rsidRPr="00D83F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F72">
        <w:rPr>
          <w:rFonts w:asciiTheme="majorBidi" w:hAnsiTheme="majorBidi" w:cstheme="majorBidi"/>
          <w:sz w:val="24"/>
          <w:szCs w:val="24"/>
        </w:rPr>
        <w:t>Book</w:t>
      </w:r>
      <w:proofErr w:type="spellEnd"/>
      <w:r w:rsidRPr="00D83F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F72">
        <w:rPr>
          <w:rFonts w:asciiTheme="majorBidi" w:hAnsiTheme="majorBidi" w:cstheme="majorBidi"/>
          <w:sz w:val="24"/>
          <w:szCs w:val="24"/>
        </w:rPr>
        <w:t>World</w:t>
      </w:r>
      <w:proofErr w:type="spellEnd"/>
      <w:r w:rsidRPr="00D83F72">
        <w:rPr>
          <w:rFonts w:asciiTheme="majorBidi" w:hAnsiTheme="majorBidi" w:cstheme="majorBidi"/>
          <w:sz w:val="24"/>
          <w:szCs w:val="24"/>
        </w:rPr>
        <w:t>), 2014. — Т. 1.</w:t>
      </w:r>
    </w:p>
    <w:p w14:paraId="49EBA8CF" w14:textId="63B78730" w:rsidR="001C6BDD" w:rsidRPr="001C6BDD" w:rsidRDefault="001C6BDD" w:rsidP="001C6BDD">
      <w:pPr>
        <w:pStyle w:val="A5"/>
        <w:numPr>
          <w:ilvl w:val="0"/>
          <w:numId w:val="11"/>
        </w:numPr>
        <w:ind w:left="0" w:firstLine="0"/>
        <w:rPr>
          <w:rFonts w:asciiTheme="majorBidi" w:hAnsiTheme="majorBidi" w:cstheme="majorBidi"/>
          <w:sz w:val="24"/>
          <w:szCs w:val="24"/>
        </w:rPr>
      </w:pPr>
      <w:r w:rsidRPr="001C6BDD">
        <w:rPr>
          <w:rFonts w:asciiTheme="majorBidi" w:hAnsiTheme="majorBidi" w:cstheme="majorBidi"/>
          <w:sz w:val="24"/>
          <w:szCs w:val="24"/>
        </w:rPr>
        <w:t xml:space="preserve">Сибавайхи Абу </w:t>
      </w:r>
      <w:proofErr w:type="spellStart"/>
      <w:r w:rsidRPr="001C6BDD">
        <w:rPr>
          <w:rFonts w:asciiTheme="majorBidi" w:hAnsiTheme="majorBidi" w:cstheme="majorBidi"/>
          <w:sz w:val="24"/>
          <w:szCs w:val="24"/>
        </w:rPr>
        <w:t>Бишр</w:t>
      </w:r>
      <w:proofErr w:type="spellEnd"/>
      <w:r w:rsidRPr="001C6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6BDD">
        <w:rPr>
          <w:rFonts w:asciiTheme="majorBidi" w:hAnsiTheme="majorBidi" w:cstheme="majorBidi"/>
          <w:sz w:val="24"/>
          <w:szCs w:val="24"/>
        </w:rPr>
        <w:t>Амр</w:t>
      </w:r>
      <w:proofErr w:type="spellEnd"/>
      <w:r w:rsidRPr="001C6BD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1C6BDD">
        <w:rPr>
          <w:rFonts w:asciiTheme="majorBidi" w:hAnsiTheme="majorBidi" w:cstheme="majorBidi"/>
          <w:sz w:val="24"/>
          <w:szCs w:val="24"/>
        </w:rPr>
        <w:t>Китаб</w:t>
      </w:r>
      <w:proofErr w:type="spellEnd"/>
      <w:r w:rsidRPr="001C6BDD">
        <w:rPr>
          <w:rFonts w:asciiTheme="majorBidi" w:hAnsiTheme="majorBidi" w:cstheme="majorBidi"/>
          <w:sz w:val="24"/>
          <w:szCs w:val="24"/>
        </w:rPr>
        <w:t>. Введение (главы 1–7). Перевод и комментарии / под общ. ред. Д. В. Фролова. — М.: Издательский дом ВКН, 2018. — 256 с.</w:t>
      </w:r>
    </w:p>
    <w:p w14:paraId="70B7F426" w14:textId="77777777" w:rsidR="001C6BDD" w:rsidRPr="001C6BDD" w:rsidRDefault="001C6BDD" w:rsidP="001C6BDD">
      <w:pPr>
        <w:pStyle w:val="A5"/>
        <w:numPr>
          <w:ilvl w:val="0"/>
          <w:numId w:val="11"/>
        </w:numPr>
        <w:ind w:left="0" w:firstLine="0"/>
        <w:rPr>
          <w:rFonts w:asciiTheme="majorBidi" w:hAnsiTheme="majorBidi" w:cstheme="majorBidi"/>
          <w:sz w:val="24"/>
          <w:szCs w:val="24"/>
        </w:rPr>
      </w:pPr>
      <w:r w:rsidRPr="001C6BDD">
        <w:rPr>
          <w:rFonts w:asciiTheme="majorBidi" w:hAnsiTheme="majorBidi" w:cstheme="majorBidi"/>
          <w:sz w:val="24"/>
          <w:szCs w:val="24"/>
        </w:rPr>
        <w:t>Сибавайхи. Аль-</w:t>
      </w:r>
      <w:proofErr w:type="spellStart"/>
      <w:r w:rsidRPr="001C6BDD">
        <w:rPr>
          <w:rFonts w:asciiTheme="majorBidi" w:hAnsiTheme="majorBidi" w:cstheme="majorBidi"/>
          <w:sz w:val="24"/>
          <w:szCs w:val="24"/>
        </w:rPr>
        <w:t>Китаб</w:t>
      </w:r>
      <w:proofErr w:type="spellEnd"/>
      <w:r w:rsidRPr="001C6BDD">
        <w:rPr>
          <w:rFonts w:asciiTheme="majorBidi" w:hAnsiTheme="majorBidi" w:cstheme="majorBidi"/>
          <w:sz w:val="24"/>
          <w:szCs w:val="24"/>
        </w:rPr>
        <w:t xml:space="preserve"> / под ред. </w:t>
      </w:r>
      <w:proofErr w:type="spellStart"/>
      <w:r w:rsidRPr="001C6BDD">
        <w:rPr>
          <w:rFonts w:asciiTheme="majorBidi" w:hAnsiTheme="majorBidi" w:cstheme="majorBidi"/>
          <w:sz w:val="24"/>
          <w:szCs w:val="24"/>
        </w:rPr>
        <w:t>Абд</w:t>
      </w:r>
      <w:proofErr w:type="spellEnd"/>
      <w:r w:rsidRPr="001C6BDD">
        <w:rPr>
          <w:rFonts w:asciiTheme="majorBidi" w:hAnsiTheme="majorBidi" w:cstheme="majorBidi"/>
          <w:sz w:val="24"/>
          <w:szCs w:val="24"/>
        </w:rPr>
        <w:t xml:space="preserve"> ас-</w:t>
      </w:r>
      <w:proofErr w:type="spellStart"/>
      <w:r w:rsidRPr="001C6BDD">
        <w:rPr>
          <w:rFonts w:asciiTheme="majorBidi" w:hAnsiTheme="majorBidi" w:cstheme="majorBidi"/>
          <w:sz w:val="24"/>
          <w:szCs w:val="24"/>
        </w:rPr>
        <w:t>Салама</w:t>
      </w:r>
      <w:proofErr w:type="spellEnd"/>
      <w:r w:rsidRPr="001C6BDD">
        <w:rPr>
          <w:rFonts w:asciiTheme="majorBidi" w:hAnsiTheme="majorBidi" w:cstheme="majorBidi"/>
          <w:sz w:val="24"/>
          <w:szCs w:val="24"/>
        </w:rPr>
        <w:t xml:space="preserve"> Мухаммада </w:t>
      </w:r>
      <w:proofErr w:type="spellStart"/>
      <w:r w:rsidRPr="001C6BDD">
        <w:rPr>
          <w:rFonts w:asciiTheme="majorBidi" w:hAnsiTheme="majorBidi" w:cstheme="majorBidi"/>
          <w:sz w:val="24"/>
          <w:szCs w:val="24"/>
        </w:rPr>
        <w:t>Харуна</w:t>
      </w:r>
      <w:proofErr w:type="spellEnd"/>
      <w:r w:rsidRPr="001C6BDD">
        <w:rPr>
          <w:rFonts w:asciiTheme="majorBidi" w:hAnsiTheme="majorBidi" w:cstheme="majorBidi"/>
          <w:sz w:val="24"/>
          <w:szCs w:val="24"/>
        </w:rPr>
        <w:t xml:space="preserve">. — 3-е изд. — Т. 1. — Каир: </w:t>
      </w:r>
      <w:proofErr w:type="spellStart"/>
      <w:r w:rsidRPr="001C6BDD">
        <w:rPr>
          <w:rFonts w:asciiTheme="majorBidi" w:hAnsiTheme="majorBidi" w:cstheme="majorBidi"/>
          <w:sz w:val="24"/>
          <w:szCs w:val="24"/>
        </w:rPr>
        <w:t>Мактабат</w:t>
      </w:r>
      <w:proofErr w:type="spellEnd"/>
      <w:r w:rsidRPr="001C6BDD">
        <w:rPr>
          <w:rFonts w:asciiTheme="majorBidi" w:hAnsiTheme="majorBidi" w:cstheme="majorBidi"/>
          <w:sz w:val="24"/>
          <w:szCs w:val="24"/>
        </w:rPr>
        <w:t xml:space="preserve"> ал-</w:t>
      </w:r>
      <w:proofErr w:type="spellStart"/>
      <w:r w:rsidRPr="001C6BDD">
        <w:rPr>
          <w:rFonts w:asciiTheme="majorBidi" w:hAnsiTheme="majorBidi" w:cstheme="majorBidi"/>
          <w:sz w:val="24"/>
          <w:szCs w:val="24"/>
        </w:rPr>
        <w:t>Ханджи</w:t>
      </w:r>
      <w:proofErr w:type="spellEnd"/>
      <w:r w:rsidRPr="001C6BDD">
        <w:rPr>
          <w:rFonts w:asciiTheme="majorBidi" w:hAnsiTheme="majorBidi" w:cstheme="majorBidi"/>
          <w:sz w:val="24"/>
          <w:szCs w:val="24"/>
        </w:rPr>
        <w:t>, 1988.</w:t>
      </w:r>
    </w:p>
    <w:p w14:paraId="5C1E45AC" w14:textId="073FD21A" w:rsidR="001C6BDD" w:rsidRPr="001C6BDD" w:rsidRDefault="001C6BDD" w:rsidP="001C6BDD">
      <w:pPr>
        <w:pStyle w:val="A5"/>
        <w:numPr>
          <w:ilvl w:val="0"/>
          <w:numId w:val="11"/>
        </w:numPr>
        <w:ind w:left="0" w:firstLine="0"/>
        <w:rPr>
          <w:rFonts w:asciiTheme="majorBidi" w:hAnsiTheme="majorBidi" w:cstheme="majorBidi"/>
          <w:sz w:val="24"/>
          <w:szCs w:val="24"/>
        </w:rPr>
      </w:pPr>
      <w:proofErr w:type="spellStart"/>
      <w:r w:rsidRPr="001C6BDD">
        <w:rPr>
          <w:rFonts w:asciiTheme="majorBidi" w:hAnsiTheme="majorBidi" w:cstheme="majorBidi"/>
          <w:sz w:val="24"/>
          <w:szCs w:val="24"/>
        </w:rPr>
        <w:t>Теньер</w:t>
      </w:r>
      <w:proofErr w:type="spellEnd"/>
      <w:r w:rsidRPr="001C6BDD">
        <w:rPr>
          <w:rFonts w:asciiTheme="majorBidi" w:hAnsiTheme="majorBidi" w:cstheme="majorBidi"/>
          <w:sz w:val="24"/>
          <w:szCs w:val="24"/>
        </w:rPr>
        <w:t xml:space="preserve"> Л. Очерк структурного синтаксиса / пер. с фр. — М.: Прогресс, 1988. </w:t>
      </w:r>
    </w:p>
    <w:p w14:paraId="59D749B3" w14:textId="77777777" w:rsidR="0067631D" w:rsidRPr="001C6BDD" w:rsidRDefault="0067631D">
      <w:pPr>
        <w:rPr>
          <w:lang w:val="en-US"/>
        </w:rPr>
      </w:pPr>
    </w:p>
    <w:sectPr w:rsidR="0067631D" w:rsidRPr="001C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0F4"/>
    <w:multiLevelType w:val="multilevel"/>
    <w:tmpl w:val="595EF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C304A"/>
    <w:multiLevelType w:val="hybridMultilevel"/>
    <w:tmpl w:val="384E6F9E"/>
    <w:lvl w:ilvl="0" w:tplc="F35480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6E216D"/>
    <w:multiLevelType w:val="hybridMultilevel"/>
    <w:tmpl w:val="C826DA06"/>
    <w:lvl w:ilvl="0" w:tplc="E98A03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74B4318"/>
    <w:multiLevelType w:val="multilevel"/>
    <w:tmpl w:val="6506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F246B4"/>
    <w:multiLevelType w:val="multilevel"/>
    <w:tmpl w:val="76CC039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 w15:restartNumberingAfterBreak="0">
    <w:nsid w:val="376A1ED1"/>
    <w:multiLevelType w:val="multilevel"/>
    <w:tmpl w:val="D752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70FD"/>
    <w:multiLevelType w:val="multilevel"/>
    <w:tmpl w:val="C8EEE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A2F59"/>
    <w:multiLevelType w:val="multilevel"/>
    <w:tmpl w:val="5508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4222B1"/>
    <w:multiLevelType w:val="multilevel"/>
    <w:tmpl w:val="265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485AAC"/>
    <w:multiLevelType w:val="multilevel"/>
    <w:tmpl w:val="866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02593E"/>
    <w:multiLevelType w:val="multilevel"/>
    <w:tmpl w:val="FB3247EA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942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302" w:hanging="2160"/>
      </w:pPr>
      <w:rPr>
        <w:rFonts w:hint="default"/>
        <w:i/>
      </w:rPr>
    </w:lvl>
  </w:abstractNum>
  <w:abstractNum w:abstractNumId="11" w15:restartNumberingAfterBreak="0">
    <w:nsid w:val="7B147608"/>
    <w:multiLevelType w:val="multilevel"/>
    <w:tmpl w:val="D710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D56126"/>
    <w:multiLevelType w:val="hybridMultilevel"/>
    <w:tmpl w:val="837231D4"/>
    <w:lvl w:ilvl="0" w:tplc="CF02266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12"/>
  </w:num>
  <w:num w:numId="11">
    <w:abstractNumId w:val="1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32"/>
    <w:rsid w:val="000144C7"/>
    <w:rsid w:val="000317A7"/>
    <w:rsid w:val="000849F7"/>
    <w:rsid w:val="000A396C"/>
    <w:rsid w:val="0013355B"/>
    <w:rsid w:val="00195150"/>
    <w:rsid w:val="001A6CB3"/>
    <w:rsid w:val="001B2032"/>
    <w:rsid w:val="001B2B52"/>
    <w:rsid w:val="001C6BDD"/>
    <w:rsid w:val="001E7E1A"/>
    <w:rsid w:val="001F56AE"/>
    <w:rsid w:val="00210422"/>
    <w:rsid w:val="002336F5"/>
    <w:rsid w:val="00270862"/>
    <w:rsid w:val="00281948"/>
    <w:rsid w:val="002E0261"/>
    <w:rsid w:val="00322CC7"/>
    <w:rsid w:val="00324486"/>
    <w:rsid w:val="00331466"/>
    <w:rsid w:val="003B5448"/>
    <w:rsid w:val="003D502D"/>
    <w:rsid w:val="00552B30"/>
    <w:rsid w:val="0063656E"/>
    <w:rsid w:val="0067631D"/>
    <w:rsid w:val="006C32DF"/>
    <w:rsid w:val="006D19FC"/>
    <w:rsid w:val="006E454B"/>
    <w:rsid w:val="00760E0F"/>
    <w:rsid w:val="00794B36"/>
    <w:rsid w:val="007C0679"/>
    <w:rsid w:val="007F74BB"/>
    <w:rsid w:val="00816228"/>
    <w:rsid w:val="00832EB3"/>
    <w:rsid w:val="0085032A"/>
    <w:rsid w:val="008C694B"/>
    <w:rsid w:val="0093050B"/>
    <w:rsid w:val="009A29B2"/>
    <w:rsid w:val="00A11D4F"/>
    <w:rsid w:val="00AC4D8A"/>
    <w:rsid w:val="00AF77E9"/>
    <w:rsid w:val="00B02459"/>
    <w:rsid w:val="00B13DE8"/>
    <w:rsid w:val="00B23571"/>
    <w:rsid w:val="00B55A68"/>
    <w:rsid w:val="00B806A9"/>
    <w:rsid w:val="00B9663D"/>
    <w:rsid w:val="00B96F58"/>
    <w:rsid w:val="00BC1AAC"/>
    <w:rsid w:val="00C134EB"/>
    <w:rsid w:val="00C40CD5"/>
    <w:rsid w:val="00C453BC"/>
    <w:rsid w:val="00CA35D3"/>
    <w:rsid w:val="00CD23AD"/>
    <w:rsid w:val="00CD5E56"/>
    <w:rsid w:val="00D003AA"/>
    <w:rsid w:val="00D00734"/>
    <w:rsid w:val="00D02F88"/>
    <w:rsid w:val="00D83F72"/>
    <w:rsid w:val="00D953F8"/>
    <w:rsid w:val="00DA4935"/>
    <w:rsid w:val="00DA5F67"/>
    <w:rsid w:val="00DB27B5"/>
    <w:rsid w:val="00E057BD"/>
    <w:rsid w:val="00E27691"/>
    <w:rsid w:val="00E655B9"/>
    <w:rsid w:val="00E93C67"/>
    <w:rsid w:val="00F16E49"/>
    <w:rsid w:val="00F72DC8"/>
    <w:rsid w:val="00F80E24"/>
    <w:rsid w:val="00FC5501"/>
    <w:rsid w:val="00FF186E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9494"/>
  <w15:chartTrackingRefBased/>
  <w15:docId w15:val="{44AAB4F4-EEEC-2042-99AF-CD42A09D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B2032"/>
    <w:rPr>
      <w:rFonts w:ascii="Helvetica Neue" w:eastAsia="Times New Roman" w:hAnsi="Helvetica Neue" w:cs="Times New Roman"/>
      <w:color w:val="0C0C0C"/>
      <w:sz w:val="20"/>
      <w:szCs w:val="20"/>
      <w:lang w:eastAsia="ru-RU"/>
    </w:rPr>
  </w:style>
  <w:style w:type="character" w:customStyle="1" w:styleId="s1">
    <w:name w:val="s1"/>
    <w:basedOn w:val="a0"/>
    <w:rsid w:val="001B2032"/>
    <w:rPr>
      <w:spacing w:val="2"/>
      <w:position w:val="5"/>
    </w:rPr>
  </w:style>
  <w:style w:type="paragraph" w:customStyle="1" w:styleId="p2">
    <w:name w:val="p2"/>
    <w:basedOn w:val="a"/>
    <w:rsid w:val="001B2032"/>
    <w:pPr>
      <w:spacing w:before="120"/>
    </w:pPr>
    <w:rPr>
      <w:rFonts w:ascii="Helvetica Neue" w:eastAsia="Times New Roman" w:hAnsi="Helvetica Neue" w:cs="Times New Roman"/>
      <w:color w:val="0C0C0C"/>
      <w:sz w:val="20"/>
      <w:szCs w:val="20"/>
      <w:lang w:eastAsia="ru-RU"/>
    </w:rPr>
  </w:style>
  <w:style w:type="paragraph" w:customStyle="1" w:styleId="li2">
    <w:name w:val="li2"/>
    <w:basedOn w:val="a"/>
    <w:rsid w:val="001B2032"/>
    <w:pPr>
      <w:spacing w:before="120"/>
    </w:pPr>
    <w:rPr>
      <w:rFonts w:ascii="Helvetica Neue" w:eastAsia="Times New Roman" w:hAnsi="Helvetica Neue" w:cs="Times New Roman"/>
      <w:color w:val="0C0C0C"/>
      <w:sz w:val="20"/>
      <w:szCs w:val="20"/>
      <w:lang w:eastAsia="ru-RU"/>
    </w:rPr>
  </w:style>
  <w:style w:type="paragraph" w:customStyle="1" w:styleId="li3">
    <w:name w:val="li3"/>
    <w:basedOn w:val="a"/>
    <w:rsid w:val="001B2032"/>
    <w:pPr>
      <w:spacing w:before="60"/>
    </w:pPr>
    <w:rPr>
      <w:rFonts w:ascii="Helvetica Neue" w:eastAsia="Times New Roman" w:hAnsi="Helvetica Neue" w:cs="Times New Roman"/>
      <w:color w:val="0C0C0C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B20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F74BB"/>
    <w:pPr>
      <w:ind w:left="720"/>
      <w:contextualSpacing/>
    </w:pPr>
  </w:style>
  <w:style w:type="paragraph" w:customStyle="1" w:styleId="li1">
    <w:name w:val="li1"/>
    <w:basedOn w:val="a"/>
    <w:rsid w:val="00B9663D"/>
    <w:pPr>
      <w:spacing w:before="120"/>
    </w:pPr>
    <w:rPr>
      <w:rFonts w:ascii="Helvetica Neue" w:eastAsia="Times New Roman" w:hAnsi="Helvetica Neue" w:cs="Times New Roman"/>
      <w:color w:val="0C0C0C"/>
      <w:sz w:val="20"/>
      <w:szCs w:val="20"/>
      <w:lang w:eastAsia="ru-RU"/>
    </w:rPr>
  </w:style>
  <w:style w:type="paragraph" w:customStyle="1" w:styleId="A5">
    <w:name w:val="Текстовый блок A"/>
    <w:rsid w:val="00552B3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Arial Unicode MS" w:eastAsia="Arial Unicode MS" w:hAnsi="Arial Unicode MS" w:cs="Arial Unicode MS"/>
      <w:color w:val="000000"/>
      <w:sz w:val="28"/>
      <w:szCs w:val="28"/>
      <w:u w:color="000000"/>
      <w:bdr w:val="nil"/>
    </w:rPr>
  </w:style>
  <w:style w:type="character" w:customStyle="1" w:styleId="apple-converted-space">
    <w:name w:val="apple-converted-space"/>
    <w:basedOn w:val="a0"/>
    <w:rsid w:val="00794B36"/>
  </w:style>
  <w:style w:type="paragraph" w:styleId="a6">
    <w:name w:val="Normal (Web)"/>
    <w:basedOn w:val="a"/>
    <w:uiPriority w:val="99"/>
    <w:semiHidden/>
    <w:unhideWhenUsed/>
    <w:rsid w:val="00794B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3515">
          <w:marLeft w:val="0"/>
          <w:marRight w:val="0"/>
          <w:marTop w:val="120"/>
          <w:marBottom w:val="0"/>
          <w:divBdr>
            <w:top w:val="single" w:sz="2" w:space="5" w:color="0C0C0C"/>
            <w:left w:val="single" w:sz="12" w:space="6" w:color="0C0C0C"/>
            <w:bottom w:val="single" w:sz="2" w:space="5" w:color="0C0C0C"/>
            <w:right w:val="single" w:sz="2" w:space="0" w:color="0C0C0C"/>
          </w:divBdr>
        </w:div>
      </w:divsChild>
    </w:div>
    <w:div w:id="91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96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355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28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51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40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53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8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25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0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66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2467">
          <w:marLeft w:val="0"/>
          <w:marRight w:val="0"/>
          <w:marTop w:val="120"/>
          <w:marBottom w:val="0"/>
          <w:divBdr>
            <w:top w:val="single" w:sz="2" w:space="5" w:color="0C0C0C"/>
            <w:left w:val="single" w:sz="12" w:space="6" w:color="0C0C0C"/>
            <w:bottom w:val="single" w:sz="2" w:space="5" w:color="0C0C0C"/>
            <w:right w:val="single" w:sz="2" w:space="0" w:color="0C0C0C"/>
          </w:divBdr>
        </w:div>
      </w:divsChild>
    </w:div>
    <w:div w:id="1129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0670">
          <w:marLeft w:val="0"/>
          <w:marRight w:val="0"/>
          <w:marTop w:val="120"/>
          <w:marBottom w:val="0"/>
          <w:divBdr>
            <w:top w:val="single" w:sz="2" w:space="5" w:color="0C0C0C"/>
            <w:left w:val="single" w:sz="12" w:space="6" w:color="0C0C0C"/>
            <w:bottom w:val="single" w:sz="2" w:space="5" w:color="0C0C0C"/>
            <w:right w:val="single" w:sz="2" w:space="0" w:color="0C0C0C"/>
          </w:divBdr>
        </w:div>
      </w:divsChild>
    </w:div>
    <w:div w:id="1248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967">
          <w:marLeft w:val="0"/>
          <w:marRight w:val="0"/>
          <w:marTop w:val="120"/>
          <w:marBottom w:val="0"/>
          <w:divBdr>
            <w:top w:val="single" w:sz="2" w:space="5" w:color="0C0C0C"/>
            <w:left w:val="single" w:sz="12" w:space="6" w:color="0C0C0C"/>
            <w:bottom w:val="single" w:sz="2" w:space="5" w:color="0C0C0C"/>
            <w:right w:val="single" w:sz="2" w:space="0" w:color="0C0C0C"/>
          </w:divBdr>
        </w:div>
      </w:divsChild>
    </w:div>
    <w:div w:id="1319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4997">
          <w:marLeft w:val="0"/>
          <w:marRight w:val="0"/>
          <w:marTop w:val="120"/>
          <w:marBottom w:val="0"/>
          <w:divBdr>
            <w:top w:val="single" w:sz="2" w:space="5" w:color="0C0C0C"/>
            <w:left w:val="single" w:sz="12" w:space="6" w:color="0C0C0C"/>
            <w:bottom w:val="single" w:sz="2" w:space="5" w:color="0C0C0C"/>
            <w:right w:val="single" w:sz="2" w:space="0" w:color="0C0C0C"/>
          </w:divBdr>
        </w:div>
      </w:divsChild>
    </w:div>
    <w:div w:id="1361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586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050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5194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4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84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078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08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86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4228">
          <w:marLeft w:val="0"/>
          <w:marRight w:val="0"/>
          <w:marTop w:val="120"/>
          <w:marBottom w:val="0"/>
          <w:divBdr>
            <w:top w:val="single" w:sz="2" w:space="5" w:color="0C0C0C"/>
            <w:left w:val="single" w:sz="12" w:space="6" w:color="0C0C0C"/>
            <w:bottom w:val="single" w:sz="2" w:space="5" w:color="0C0C0C"/>
            <w:right w:val="single" w:sz="2" w:space="0" w:color="0C0C0C"/>
          </w:divBdr>
        </w:div>
      </w:divsChild>
    </w:div>
    <w:div w:id="1604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4323">
          <w:marLeft w:val="0"/>
          <w:marRight w:val="0"/>
          <w:marTop w:val="120"/>
          <w:marBottom w:val="0"/>
          <w:divBdr>
            <w:top w:val="single" w:sz="2" w:space="5" w:color="0C0C0C"/>
            <w:left w:val="single" w:sz="12" w:space="6" w:color="0C0C0C"/>
            <w:bottom w:val="single" w:sz="2" w:space="5" w:color="0C0C0C"/>
            <w:right w:val="single" w:sz="2" w:space="0" w:color="0C0C0C"/>
          </w:divBdr>
        </w:div>
      </w:divsChild>
    </w:div>
    <w:div w:id="1943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1072">
          <w:marLeft w:val="0"/>
          <w:marRight w:val="0"/>
          <w:marTop w:val="120"/>
          <w:marBottom w:val="0"/>
          <w:divBdr>
            <w:top w:val="single" w:sz="2" w:space="5" w:color="0C0C0C"/>
            <w:left w:val="single" w:sz="12" w:space="6" w:color="0C0C0C"/>
            <w:bottom w:val="single" w:sz="2" w:space="5" w:color="0C0C0C"/>
            <w:right w:val="single" w:sz="2" w:space="0" w:color="0C0C0C"/>
          </w:divBdr>
        </w:div>
      </w:divsChild>
    </w:div>
    <w:div w:id="2053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209">
          <w:marLeft w:val="0"/>
          <w:marRight w:val="0"/>
          <w:marTop w:val="120"/>
          <w:marBottom w:val="0"/>
          <w:divBdr>
            <w:top w:val="single" w:sz="2" w:space="5" w:color="0C0C0C"/>
            <w:left w:val="single" w:sz="12" w:space="6" w:color="0C0C0C"/>
            <w:bottom w:val="single" w:sz="2" w:space="5" w:color="0C0C0C"/>
            <w:right w:val="single" w:sz="2" w:space="0" w:color="0C0C0C"/>
          </w:divBdr>
        </w:div>
      </w:divsChild>
    </w:div>
    <w:div w:id="21446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105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17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0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41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28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40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Синицына</dc:creator>
  <cp:keywords/>
  <dc:description/>
  <cp:lastModifiedBy>Саша Синицына</cp:lastModifiedBy>
  <cp:revision>2</cp:revision>
  <dcterms:created xsi:type="dcterms:W3CDTF">2026-03-09T20:39:00Z</dcterms:created>
  <dcterms:modified xsi:type="dcterms:W3CDTF">2026-03-09T20:39:00Z</dcterms:modified>
</cp:coreProperties>
</file>