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/>
        <w:ind w:hanging="0" w:start="0" w:end="0"/>
        <w:jc w:val="center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ab/>
      </w:r>
      <w:r>
        <w:rPr>
          <w:rStyle w:val="Strong"/>
          <w:rFonts w:eastAsia="Times New Roman" w:ascii="Times New Roman" w:hAnsi="Times New Roman"/>
          <w:b/>
          <w:bCs/>
          <w:i w:val="false"/>
          <w:caps w:val="false"/>
          <w:smallCaps w:val="false"/>
          <w:color w:val="0F1115"/>
          <w:spacing w:val="0"/>
          <w:sz w:val="24"/>
          <w:szCs w:val="24"/>
        </w:rPr>
        <w:t xml:space="preserve">Традиция и технологическое будущее: несовместимость трансгуманизма и традиционных антропологических учений на примере китайской философской мысли. 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>
          <w:rStyle w:val="Strong"/>
          <w:rFonts w:ascii="Times New Roman" w:hAnsi="Times New Roman" w:eastAsia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4"/>
          <w:szCs w:val="24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 xml:space="preserve">Корчагин Максим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Сергеевич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Студент 2-го курса магистратуры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Православный Институт святого Иоанна Богослова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Факультет теологии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Москва, Россия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E-mail: </w:t>
      </w:r>
      <w:hyperlink r:id="rId2">
        <w:r>
          <w:rPr>
            <w:rStyle w:val="Hyperlink"/>
            <w:rFonts w:eastAsia="Times New Roman" w:ascii="Times New Roman" w:hAnsi="Times New Roman"/>
            <w:b w:val="false"/>
            <w:bCs/>
            <w:i w:val="false"/>
            <w:caps w:val="false"/>
            <w:smallCaps w:val="false"/>
            <w:color w:val="0F1115"/>
            <w:spacing w:val="0"/>
            <w:sz w:val="24"/>
            <w:szCs w:val="24"/>
            <w:lang w:val="en-US"/>
          </w:rPr>
          <w:t>mack.corchagin2018@yandex.ru</w:t>
        </w:r>
      </w:hyperlink>
    </w:p>
    <w:p>
      <w:pPr>
        <w:pStyle w:val="Normal"/>
        <w:widowControl/>
        <w:bidi w:val="0"/>
        <w:spacing w:lineRule="auto" w:line="240"/>
        <w:ind w:hanging="0" w:start="0" w:end="0"/>
        <w:jc w:val="start"/>
        <w:rPr>
          <w:rStyle w:val="Strong"/>
          <w:rFonts w:ascii="Times New Roman" w:hAnsi="Times New Roman" w:eastAsia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На современном этапе развития технологий человечество вплотную подошло к границам собственной природы. Трансгуманизм, предлагающий проект «улучшенного человека» и технологической модификации тел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а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, становится одним из влиятельных направлений футурологической и философской мысли. Однако сформировавшийся в русле западной либеральной традиции трансгуманизм исходит из представления об автономном индивиде, имеющем право распоряжаться своим телом как объектом собственности. Проблема данного исследования заключается в противоречии между универсалистскими притязаниями трансгуманизма и фундаментальными основаниями традиционной китайской антропологии, которая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 все еще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оказыва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ет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влияние на ценностные ориентации современного китайского общества. Вопрос состоит не в технической возможности внедрения трансгуманистических практик в Китае, а в их этической приемлемости с точки зрения укорененных в китайской культуре представлений о человеке, его телесности и месте в мире.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ab/>
        <w:t xml:space="preserve">Первые систематические исследования трансгуманизма появились в западной философии во второй половине XX века (работы Дж. Хаксли, М. Мора, Н. Бострома). Критика трансгуманизма с консервативных позиций представлена био-консерваторами (Ф. Фукуяма, Л. Касс), однако эта критика также опирается на западную антропологическую традицию. Исследования на стыке китайской философии и трансгуманизма находятся на начальном этапе. В последние годы появились работы Ван Цзюэ, посвященные конфуцианской рефлексии над постчеловеческим будущим, а также труды Фань Жуйпина по конфуцианской биоэтике.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Д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о настоящего времени отсутствует системное сопоставление трех ключевых источников китайской антропологии (конфуцианство, даосизм, каноническая этика тела) с базовыми постулатами трансгуманизма в едином исследовательском поле.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ab/>
        <w:t>Для проведения данного исследования мы опирались на корпус первоисточников: канонические тексты («Лунь юй», «Дао дэ цзин», «Сяо цзин»), а также на современные философские и биоэтические исследования китайских и западных специалистов. В ходе работы использовались следующие методы: сравнительно-философский анализ для сопоставления антропологических моделей западного трансгуманизма и китайской традиции, герменевтический метод для интерпретации ключевых понятий китайской философии в их отношении к проблематике трансгуманизма, а также системный анализ, позволивший рассмотреть китайскую антропологию как целостность, включающую социальное, космологическое и этико-телесное измерения.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ab/>
        <w:t>Новизна данного исследования заключается во введении категории «тело как дар»,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 опирающееся на традиционный китайский философский антропологический дискурс,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в дискуссию о трансгуманизме.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К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итайская антропология рассматривается как система из трех взаимодополняющих аспектов: социально-ролевого (конфуцианство), космологически-естественного (даосизм) и этико-телесного (канон «Сяо цзин»).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Как к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аждый из них дает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самостоятельный аргумент против трансгуманизма,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так и все три в совокупности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. 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ab/>
        <w:t xml:space="preserve">В ходе исследования мы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рассмотрели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ключевые характеристики западного трансгуманизма: автономный индивид, право на модификацию тела, тело как «устаревшая платформа», проект бессмертия как преодоление видовой конечности. Затем был проведен анализ трех аспектов китайской антропологии. В конфуцианстве человек не существует изолированно - он всегда сын или дочь, отец или мать, подданный или правитель,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так что один из важнейших приоритетов в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жизни заключается в гармонизации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социальных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связей,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в то время как т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рансгуманистический проект разрушает с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аму суть данных ценностных ориентиров.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Бессмертный индивид выпадает из системы межпоколенческих отношений, что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 этически не соответствует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конфуцианской картине мира.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И «..сама и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деология конфуцианства формулировалась как определенный свод правил, главной целью которого было помочь человеку обрести моральные и этико-нравственные качества, основанные в далеком прошлом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»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[1, 3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с.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]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.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Даосизм исходит из равноценности жизни и смерти и признания высшей ценности естественного хода вещей. Ключевое понятие даосизма — цзы жань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 (</w:t>
      </w:r>
      <w:r>
        <w:rPr>
          <w:rStyle w:val="Strong"/>
          <w:rFonts w:ascii="Times New Roman" w:hAnsi="Times New Roman" w:eastAsia="Times New Roman"/>
          <w:caps w:val="false"/>
          <w:smallCaps w:val="false"/>
          <w:color w:val="0F1115"/>
          <w:spacing w:val="0"/>
          <w:sz w:val="24"/>
          <w:szCs w:val="24"/>
          <w:lang w:val="ru-RU"/>
        </w:rPr>
        <w:t>自然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)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(естественность, спонтанность). Человек понимается как микрокосм, часть Дао, и задача состоит не в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преодолении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 его природы, а в следовании ее внутренней логике. Трансгуманизм, напротив, предлагает покорение природы через технологическое вмешательство. Третий аспект связан с этикой тела, зафиксированной в «Каноне сыновней почтительности» («Сяо цзин»). Ключевое положение этого текста гласит: тело, волосы и кожа получены от отца и матери — не смеешь повреждать их, это начало сыновней почтительности. Тело понимается не как собственность индивида, а как дар предков и временное вместилище рода. Задача человека — сохранить этот дар и передать потомкам. 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ab/>
        <w:t>При анализе возможных возражений мы учитывали тезис о том, что современные китайцы могли уйти от традиций. Изучение современных идеологических процессов показывает, что китайское государство проводит политику возрождения конфуцианства, обращаясь к традиции как к духовному ресурсу нации. Социологические данные свидетельствуют о сохранении базовых ценностей как основы воспитания и семейных отношений. Кроме того, в китайской культуре исторически действует формула «китайская основа — западное применение»: технологии заимствуются, но антропология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 и традиционная философия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 xml:space="preserve">сохраняется,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это та самая так называемая 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“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китайская специфика</w:t>
      </w: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>”.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  <w:tab/>
        <w:t>В результате проведенного исследования мы пришли к следующим выводам. Трансгуманизм не является культурно-нейтральным проектом, он несет в себе специфическую антропологию западного либерального индивидуализма, которая вступает в конфликт с незападными моделями человека. Китайская антропология представляет собой целостную альтернативу трансгуманизму: в ней человек понимается не как изолированный индивид, а как звено в цепи поколений (конфуцианство), часть космической гармонии (даосизм) и хранитель дара, полученного от предков (этика «Сяо цзин»). Технологическое развитие не тождественно антропологической трансформации. Китайский пример показывает, что можно быть лидером в биотехнологиях и искусственном интеллекте, сохраняя при этом традиционные представления о человеке. Таким образом, вопрос о совместимости трансгуманизма и китайской философской мысли является не столько технологическим, сколько мировоззренческим и политическим, коренящимся в глубоких основаниях китайской антропологии.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>
          <w:rStyle w:val="Strong"/>
          <w:rFonts w:ascii="Times New Roman" w:hAnsi="Times New Roman" w:eastAsia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en-US"/>
        </w:rPr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/>
          <w:bCs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>Литература</w:t>
      </w:r>
    </w:p>
    <w:p>
      <w:pPr>
        <w:pStyle w:val="Normal"/>
        <w:widowControl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eastAsia="Times New Roman"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4"/>
          <w:szCs w:val="24"/>
          <w:lang w:val="ru-RU"/>
        </w:rPr>
        <w:t xml:space="preserve">1. Исламова Л.А., Валиахмедова К.Ф., Сагадеева А.Р. - учение конфуция о «благородном человеке» и его роль в социальном и воспитательном начале древнекитайского общества. Казанский (Приволжский) федеральный университет, 2023. 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quote-cjk-patch">
    <w:altName w:val="Inter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k.corchagin2018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LibreOffice/25.8.3.2$Windows_X86_64 LibreOffice_project/8ca8d55c161d602844f5428fa4b58097424e324e</Application>
  <AppVersion>15.0000</AppVersion>
  <Pages>2</Pages>
  <Words>817</Words>
  <Characters>6050</Characters>
  <CharactersWithSpaces>6863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2026-03-02T22:32:27Z</dcterms:created>
  <dc:creator/>
  <dc:description/>
  <dc:language>ru-RU</dc:language>
  <cp:lastModifiedBy/>
  <dcterms:modified xsi:type="dcterms:W3CDTF">2026-03-02T23:40:49Z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