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2C7" w:rsidRDefault="00A752C7" w:rsidP="00A752C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A752C7">
        <w:rPr>
          <w:rFonts w:ascii="Times New Roman" w:hAnsi="Times New Roman" w:cs="Times New Roman"/>
          <w:sz w:val="28"/>
        </w:rPr>
        <w:t>В докладе рассматривается погребально-поминальная обрядность оседлого узбекского населения Южного Хорезма (гг.Куня-Ургенч, Хива, Ханки, Бируни) и её составные части: обращение с телом покойника до погребения, погребальная процессия и заупокойная молитва (</w:t>
      </w:r>
      <w:r>
        <w:rPr>
          <w:rFonts w:ascii="Times New Roman" w:hAnsi="Times New Roman" w:cs="Times New Roman"/>
          <w:sz w:val="28"/>
        </w:rPr>
        <w:t>джиноза), поминальные практики. Поскольку данные ритуалы являются одними из наиболее идеологически окрашенных и предполагают участие массы людей, оставаясь наименее подверженной изменениям стороной общественной быта, постольку погребально-поминальная обрядность рассматривается как правомерный источник по истории общественного строя народов Средней Азии.</w:t>
      </w:r>
      <w:r w:rsidR="009D553F">
        <w:rPr>
          <w:rFonts w:ascii="Times New Roman" w:hAnsi="Times New Roman" w:cs="Times New Roman"/>
          <w:sz w:val="28"/>
        </w:rPr>
        <w:t xml:space="preserve"> </w:t>
      </w:r>
    </w:p>
    <w:p w:rsidR="009D553F" w:rsidRPr="009D553F" w:rsidRDefault="009D553F" w:rsidP="00A752C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Данная тема практически совершенно не освещена в дореволюционной историографии (за исключением беглых путевых упоминаний, например «Туркестанский край в 1866 году» П.Пашино), но весьма глубоко изучена в советской энтографии. С.П.Толстовым, руководившим деятельностью Хорезмской арехолого-этнографической экспедиции с 1937 г., была убедительно доказана древность существующего в Хорезме этно-культурного комплекса, а сотрудниками этнографического отряда, прежде всего Г.П.Снесаревым, обнаружена преемственность между древнейшими пластами этого комлекса и современными середине </w:t>
      </w:r>
      <w:r>
        <w:rPr>
          <w:rFonts w:ascii="Times New Roman" w:hAnsi="Times New Roman" w:cs="Times New Roman"/>
          <w:sz w:val="28"/>
          <w:lang w:val="en-US"/>
        </w:rPr>
        <w:t>XX</w:t>
      </w:r>
      <w:r w:rsidRPr="009D55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в. этнографическими данными. Впоследствии многочисленные этнические особенности были утрачены либо приобрели ярко выраженный конструктивистский, «туристический» оттенок, поэтому работы периода расцвета Хорезмской арехолого-этнографической экспедиции (1950-1960е гг.) являются основным источником по указанной теме. В качестве подсобного материала автором используются материалы опросов граждан Республики Узбекистан, очно – пребывающих на территории РФ, заочно – проживающих на территории Хорезма</w:t>
      </w:r>
      <w:r w:rsidR="009A13B8">
        <w:rPr>
          <w:rFonts w:ascii="Times New Roman" w:hAnsi="Times New Roman" w:cs="Times New Roman"/>
          <w:sz w:val="28"/>
        </w:rPr>
        <w:t xml:space="preserve"> (Каракаплакистанская автономия)</w:t>
      </w:r>
      <w:r>
        <w:rPr>
          <w:rFonts w:ascii="Times New Roman" w:hAnsi="Times New Roman" w:cs="Times New Roman"/>
          <w:sz w:val="28"/>
        </w:rPr>
        <w:t xml:space="preserve">. </w:t>
      </w:r>
    </w:p>
    <w:p w:rsidR="00136596" w:rsidRDefault="009D553F" w:rsidP="00A752C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752C7">
        <w:rPr>
          <w:rFonts w:ascii="Times New Roman" w:hAnsi="Times New Roman" w:cs="Times New Roman"/>
          <w:sz w:val="28"/>
        </w:rPr>
        <w:t xml:space="preserve">. </w:t>
      </w:r>
      <w:r w:rsidR="00A752C7" w:rsidRPr="00A752C7">
        <w:rPr>
          <w:rFonts w:ascii="Times New Roman" w:hAnsi="Times New Roman" w:cs="Times New Roman"/>
          <w:sz w:val="28"/>
        </w:rPr>
        <w:t>Выявляется две конфликтующие тенденции внутри данного обрядового комплекса: с одной стороны, индивидуалистская тенденция к посмертному прославлению предка, часто расходящаяся с исламским правом (наземное захоронение), с другой — коллективистская тенденция, выраженная в представлении о нечистоте, потенциальной опасности трупа и душ недавно умерших родственников, стигматизации омывальщиков.</w:t>
      </w:r>
      <w:r w:rsidR="00A752C7">
        <w:rPr>
          <w:rFonts w:ascii="Times New Roman" w:hAnsi="Times New Roman" w:cs="Times New Roman"/>
          <w:sz w:val="28"/>
        </w:rPr>
        <w:t xml:space="preserve"> </w:t>
      </w:r>
    </w:p>
    <w:p w:rsidR="00A752C7" w:rsidRDefault="009D553F" w:rsidP="00A752C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A752C7">
        <w:rPr>
          <w:rFonts w:ascii="Times New Roman" w:hAnsi="Times New Roman" w:cs="Times New Roman"/>
          <w:sz w:val="28"/>
        </w:rPr>
        <w:t xml:space="preserve">. </w:t>
      </w:r>
      <w:r w:rsidR="00396439">
        <w:rPr>
          <w:rFonts w:ascii="Times New Roman" w:hAnsi="Times New Roman" w:cs="Times New Roman"/>
          <w:sz w:val="28"/>
        </w:rPr>
        <w:t>Фундаментальной причиной, по которой противоречие двух данных тенденций выступает в Хорезме особенно ярко по сравнению с другими регионами Узбекистана и Средней Азии, является историко-географическая замкнутость Хорезма и отсутствие периодов особенно стремительной ломки родо-племенной организации, многовековой и постепенный переход от родовой к соседской общности.</w:t>
      </w:r>
    </w:p>
    <w:p w:rsidR="002D323B" w:rsidRDefault="002D323B" w:rsidP="00A752C7">
      <w:pPr>
        <w:jc w:val="both"/>
        <w:rPr>
          <w:rFonts w:ascii="Times New Roman" w:hAnsi="Times New Roman" w:cs="Times New Roman"/>
          <w:sz w:val="28"/>
        </w:rPr>
      </w:pPr>
    </w:p>
    <w:p w:rsidR="002D323B" w:rsidRPr="002D323B" w:rsidRDefault="002D323B" w:rsidP="00A752C7">
      <w:pPr>
        <w:jc w:val="both"/>
        <w:rPr>
          <w:rFonts w:ascii="Times New Roman" w:hAnsi="Times New Roman" w:cs="Times New Roman"/>
          <w:b/>
          <w:sz w:val="32"/>
        </w:rPr>
      </w:pPr>
      <w:r w:rsidRPr="002D323B">
        <w:rPr>
          <w:rFonts w:ascii="Times New Roman" w:hAnsi="Times New Roman" w:cs="Times New Roman"/>
          <w:b/>
          <w:sz w:val="32"/>
        </w:rPr>
        <w:lastRenderedPageBreak/>
        <w:t xml:space="preserve">Список литературы: </w:t>
      </w:r>
    </w:p>
    <w:p w:rsidR="002D323B" w:rsidRDefault="002D323B" w:rsidP="00A752C7">
      <w:pPr>
        <w:jc w:val="both"/>
        <w:rPr>
          <w:rFonts w:ascii="Times New Roman" w:hAnsi="Times New Roman" w:cs="Times New Roman"/>
          <w:sz w:val="28"/>
        </w:rPr>
      </w:pPr>
    </w:p>
    <w:p w:rsidR="002D323B" w:rsidRPr="002D323B" w:rsidRDefault="002D323B" w:rsidP="00A752C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2D323B">
        <w:rPr>
          <w:rFonts w:ascii="Times New Roman" w:hAnsi="Times New Roman" w:cs="Times New Roman"/>
          <w:sz w:val="28"/>
        </w:rPr>
        <w:t>Снесарев Г.П. О некоторых причинах сохранения религиозно-бытовых пережитков у узбеков Хорезма</w:t>
      </w:r>
      <w:r>
        <w:rPr>
          <w:rFonts w:ascii="Times New Roman" w:hAnsi="Times New Roman" w:cs="Times New Roman"/>
          <w:sz w:val="28"/>
        </w:rPr>
        <w:t xml:space="preserve"> </w:t>
      </w:r>
      <w:r w:rsidRPr="002D323B">
        <w:rPr>
          <w:rFonts w:ascii="Times New Roman" w:hAnsi="Times New Roman" w:cs="Times New Roman"/>
          <w:sz w:val="28"/>
        </w:rPr>
        <w:t>// Советская этнография. 1957, № 2</w:t>
      </w:r>
      <w:r>
        <w:rPr>
          <w:rFonts w:ascii="Times New Roman" w:hAnsi="Times New Roman" w:cs="Times New Roman"/>
          <w:sz w:val="28"/>
        </w:rPr>
        <w:t>.</w:t>
      </w:r>
    </w:p>
    <w:p w:rsidR="002D323B" w:rsidRDefault="002D323B" w:rsidP="00A752C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Снесарев Г.П. </w:t>
      </w:r>
      <w:r w:rsidRPr="002D323B">
        <w:rPr>
          <w:rFonts w:ascii="Times New Roman" w:hAnsi="Times New Roman" w:cs="Times New Roman"/>
          <w:sz w:val="28"/>
        </w:rPr>
        <w:t>Материалы о первобытнообщинных пережитках в обычаях и обрядах узбеков Хорезма</w:t>
      </w:r>
      <w:r>
        <w:rPr>
          <w:rFonts w:ascii="Times New Roman" w:hAnsi="Times New Roman" w:cs="Times New Roman"/>
          <w:sz w:val="28"/>
        </w:rPr>
        <w:t>,</w:t>
      </w:r>
      <w:r w:rsidRPr="002D323B">
        <w:rPr>
          <w:rFonts w:ascii="Times New Roman" w:hAnsi="Times New Roman" w:cs="Times New Roman"/>
          <w:sz w:val="28"/>
        </w:rPr>
        <w:t xml:space="preserve"> //Материалы Х</w:t>
      </w:r>
      <w:r>
        <w:rPr>
          <w:rFonts w:ascii="Times New Roman" w:hAnsi="Times New Roman" w:cs="Times New Roman"/>
          <w:sz w:val="28"/>
        </w:rPr>
        <w:t>орезмской экспедиции, 1960, Вып. 4.</w:t>
      </w:r>
    </w:p>
    <w:p w:rsidR="002D323B" w:rsidRDefault="002D323B" w:rsidP="00A752C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2D323B">
        <w:rPr>
          <w:rFonts w:ascii="Times New Roman" w:hAnsi="Times New Roman" w:cs="Times New Roman"/>
          <w:sz w:val="28"/>
        </w:rPr>
        <w:t>Снесарев Г.П. Реликты домусульманских верований и обрядов у узбеков Хорезма. – М., 1969.</w:t>
      </w:r>
    </w:p>
    <w:p w:rsidR="002D323B" w:rsidRDefault="002D323B" w:rsidP="00A752C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2D323B">
        <w:rPr>
          <w:rFonts w:ascii="Times New Roman" w:hAnsi="Times New Roman" w:cs="Times New Roman"/>
          <w:sz w:val="28"/>
        </w:rPr>
        <w:t>Лобачёва Н.П. Свадебный обряд хорезмских узбеков / КСИЭ. Вып.XXXIV. М., 1960</w:t>
      </w:r>
      <w:r>
        <w:rPr>
          <w:rFonts w:ascii="Times New Roman" w:hAnsi="Times New Roman" w:cs="Times New Roman"/>
          <w:sz w:val="28"/>
        </w:rPr>
        <w:t>.</w:t>
      </w:r>
    </w:p>
    <w:p w:rsidR="002D323B" w:rsidRPr="00A752C7" w:rsidRDefault="002D323B" w:rsidP="00A752C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2D323B">
        <w:rPr>
          <w:rFonts w:ascii="Times New Roman" w:hAnsi="Times New Roman" w:cs="Times New Roman"/>
          <w:sz w:val="28"/>
        </w:rPr>
        <w:t>Сазонова М.В. К этнографии узбеков Южного Хорезма (Полевые исследования Южноузбекского этнографического отряда Хорезмской археолого-этнографической экспедиции в 1946-1948 гг.) // Труды Хорезмской археолого-</w:t>
      </w:r>
      <w:r>
        <w:rPr>
          <w:rFonts w:ascii="Times New Roman" w:hAnsi="Times New Roman" w:cs="Times New Roman"/>
          <w:sz w:val="28"/>
        </w:rPr>
        <w:t>этнографической экспедиции, т.1,</w:t>
      </w:r>
      <w:r w:rsidRPr="002D323B">
        <w:rPr>
          <w:rFonts w:ascii="Times New Roman" w:hAnsi="Times New Roman" w:cs="Times New Roman"/>
          <w:sz w:val="28"/>
        </w:rPr>
        <w:t>1952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2D323B" w:rsidRPr="00A75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C7"/>
    <w:rsid w:val="00136596"/>
    <w:rsid w:val="002D323B"/>
    <w:rsid w:val="00396439"/>
    <w:rsid w:val="009A13B8"/>
    <w:rsid w:val="009D553F"/>
    <w:rsid w:val="00A7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A0804-0D2F-43E7-B6CF-3F5D7F3F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2026-03-02T18:24:00Z</dcterms:created>
  <dcterms:modified xsi:type="dcterms:W3CDTF">2026-03-03T08:27:00Z</dcterms:modified>
</cp:coreProperties>
</file>