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spacing w:line="240" w:lineRule="auto"/>
        <w:ind w:firstLine="567"/>
        <w:jc w:val="center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spacing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Риваяты как фундамент конфессиональной идентичности диаспоры парсов в XIX–XXI вв.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spacing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spacing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Вишневецкая Аксинья Вадимовна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spacing w:line="240" w:lineRule="auto"/>
        <w:ind w:firstLine="567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 (бакалавр)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spacing w:line="240" w:lineRule="auto"/>
        <w:ind w:firstLine="567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Волгоградский государственный университет, Волгоград, Россия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numPr>
          <w:ilvl w:val="0"/>
          <w:numId w:val="1"/>
        </w:numPr>
        <w:spacing w:line="240" w:lineRule="auto"/>
        <w:ind w:firstLine="567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000ff"/>
            <w:sz w:val="24"/>
            <w:szCs w:val="24"/>
            <w:u w:val="single"/>
            <w:rtl w:val="0"/>
          </w:rPr>
          <w:t xml:space="preserve">aksinya34ru@yandex.ru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spacing w:line="240" w:lineRule="auto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В современном религиоведении актуальным остается вопрос о механизмах сохранения этноконфессиональной идентичности в условиях глобализации и инокультурного окружения. Особ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ым примером является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 эволюция зороастризма в его индийской форме — парсизме. Цель работы заключается в выявлении роли Риваятов как нормативного фундамента, который позволил парсам создать свою этнорелигиозную систему, ставшую основой их выживания и процветания в Новое и Новейшее время.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Изучение Риваятов было инициировано Б. Н. Дхабхаром, осуществившим их перевод и систематизацию. В западной научной литературе, в частности в работах М. Бойс и Дж. Хиннеллса, данный источник анализировался исключительно в контексте изучения взаимосвязи между иранскими и индийскими зороастрийскими общинами, а также для выявления характера их взаимоотношений. В отечественной науке через Риваяты Е. А. Дорошенко освещала социальную замкнутость общины. Несмотря на значительный вклад этих исследователей, влияние данных текстов на правовую и социальную структуру современного парсизма как целостной системы все ещё нуждается в комплексном обосновании.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Источниковую базу составляют Риваяты — п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z w:val="24"/>
          <w:szCs w:val="24"/>
          <w:highlight w:val="white"/>
          <w:rtl w:val="0"/>
        </w:rPr>
        <w:t xml:space="preserve">ереписка XV–XVIII веков, представляющая собой серию ответов иранских зороастрийских жрецов на вопросы парсов, обосновавшихся в Индии. Возникла вследствие постепенной утраты религиозных традиций в индийской диаспоре парсов и содержала разъяснения по ключевым вопросам вероучения и обрядности.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Методология исследования базируется на историко-сравнительном анализе, что позволяет проследить преемственность норм от средневековых текстов до современных судебных прецедентов и общинных уставов. Можно утверждать, что именно Риваяты послужили подобием конституции парсийской общины.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одификаци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 норм чистоты, брака и ритуала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в Риваятах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стала существенным фактором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институционализ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ации парсизма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 в колониальный период.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В процессе анализа текстов было установлено, что ответы из Риваятов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строго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 зафиксировали границы между «своими» и «чужими». Наставления иранских зороастрийцев требовали строгого соблюдения ритуальной чистоты в отношениях с иноверцами (джуддитами) [2, c.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30, 376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]. В условиях Индии первоначальное требование ритуальной гигиены трансформировалось в стратегию социального дистанцирования. Риваяты предписывают исключать контакт иноверцев со священными объектами для предотвращения их осквернения [2, c. 65]. В современной практике это трансформировалось в строгий запрет на вход не-зороастрийцев в храмы ритуальных огней.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судебном разбирательстве 1908 г. было юридически закреплено, что правами на общинную собственность и доступ в храмы обладают исключительно этнические парсы — потомки иранских переселенцев и дети отцов‑парсов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Риваяты содержат детальные инструкции по устройству Башен Молчания (дахм) и запрещают осквернение стихий (огня, земли, воды) мертвой плотью [2, c.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131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].  Несмотря на экологические трудности в современной Индии, община отказывается от кремации, ссылаясь на авторитет Риваятов. Статья в журнале Parsiana описывает, как парсы используют технологические инновации (солнечные концентраторы), чтобы не нарушить древний ритуал захоронения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Через Риваяты также было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закреп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лено сословное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 разделение на жрецов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(мобедов)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 и мирян (бехди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нов)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[2, c. 432]. В 1777 году мобедами была предпринята попытка обособления жреческой касты на законодательном уровне путём запрета браков между жрецами и мирянами, однако закон был признан недействительным британским правительством [3, c. 219]. Газета Jam-e-Jamshed в дискуссиях о нехватке кадров апеллирует к Риваятам, доказывая, что допуск мирян к служению невозможен, так как это нарушит «генеалогическую чистоту», зафиксированную в традиции [5].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Пункт о конфессиональной чистоте браков, основанный на Риваятах, лег в основу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принципа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эндогамии парсов [2, c. 187]. В дальнейшем это послужило юридической базой для государственного законодательства: по инициативе Панчаята в Индии был принят «Закон о браке и разводе парсов» (1936 г.), согласно которому брак с представителем другой религии является основанием для утраты определенных общинных прав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].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Таким образом, через интерпретацию Риваятов выстроилась неразрывная связь между парсийским происхождением и правом исповедовать веру.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Исследование позволяет заключить, что вклад Риваятов заключается в создании нормативного пространства, которое предотвратило полную ассимиляцию парсов. Данный подход позволяет по-новому взглянуть на теорию сохранения малых религий в глобализирующемся мире.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spacing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Источники и литература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spacing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Дорошенко, Е. А. Зороастрийцы в Иране : Историко-этнографический очерк / Е. А. Дорошенко ; отв. ред. Н. М. Морозова. — Москва : Наука, 1982. — 133 с.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spacing w:line="240" w:lineRule="auto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Dhabhar, B. N. The Persian Rivayats of Hormazyar Framarz and others : Their Theory and Practice / B. N. Dhabhar. — Bombay : K. R. Cama Oriental Institute, 1932 (reprint 1999). — 712 p.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spacing w:line="240" w:lineRule="auto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Karaka, D. F.  History of the Parsis : including their manners, customs, religion, a. present position. Vol 1. London : Macmillan, 1884. 396 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Sir Dinshaw Manockji Petit And Ors. vs Sir Jamsetji Jeejeebhoy And Ors. on 27 November, 1908 // Indian Kanoon URL: https://indiankanoon.org/doc/1697846/?__cf_chl_rt_tk=mp3SqWoiZLJxsB0YFdnVRlMqWbtuN.XFrqM0pNIH.oc-1773088501-1.0.1.1-VfsuOEWEBlSYx_NNm_GJOOWOoNJTUnpQcfclkEOQMQ4 (дата обращения: 01.03.2026).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Parsi Marriage and Divorce Act, 1936 // India Code URL: https://share.google/ppYstOaqatSIYT5KW (дата обращения: 01.03.2026).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Tower of Silence: The Vanishing Practice of Zoroastrian Sky Burial // countere URL: https://www.countere.com/home/tower-of-silence-dakhma-zoroastrian-sky-burial-vultureslSYx_NNm_GJOOWOoNJTUnpQcfclkEOQMQ4 (дата обращения: 01.03.2026).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upperLetter"/>
      <w:lvlText w:val="%1-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ksinya34ru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