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240" w:lineRule="auto"/>
        <w:jc w:val="center"/>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Роль промышленных конгломератов в решении демографического кризиса в Республике Корея</w:t>
      </w:r>
      <w:r w:rsidDel="00000000" w:rsidR="00000000" w:rsidRPr="00000000">
        <w:rPr>
          <w:rtl w:val="0"/>
        </w:rPr>
      </w:r>
    </w:p>
    <w:p w:rsidR="00000000" w:rsidDel="00000000" w:rsidP="00000000" w:rsidRDefault="00000000" w:rsidRPr="00000000" w14:paraId="00000002">
      <w:pPr>
        <w:shd w:fill="ffffff" w:val="clear"/>
        <w:spacing w:after="240" w:before="240" w:line="240" w:lineRule="auto"/>
        <w:jc w:val="center"/>
        <w:rPr>
          <w:rFonts w:ascii="Times New Roman" w:cs="Times New Roman" w:eastAsia="Times New Roman" w:hAnsi="Times New Roman"/>
          <w:b w:val="1"/>
          <w:bCs w:val="1"/>
          <w:i w:val="1"/>
          <w:iCs w:val="1"/>
          <w:sz w:val="24"/>
          <w:szCs w:val="24"/>
          <w:highlight w:val="yellow"/>
        </w:rPr>
      </w:pPr>
      <w:r w:rsidDel="00000000" w:rsidR="00000000" w:rsidRPr="00000000">
        <w:rPr>
          <w:rFonts w:ascii="Times New Roman" w:cs="Times New Roman" w:eastAsia="Times New Roman" w:hAnsi="Times New Roman"/>
          <w:b w:val="1"/>
          <w:bCs w:val="1"/>
          <w:i w:val="1"/>
          <w:iCs w:val="1"/>
          <w:sz w:val="24"/>
          <w:szCs w:val="24"/>
          <w:rtl w:val="0"/>
        </w:rPr>
        <w:t xml:space="preserve">Лыскович</w:t>
      </w:r>
      <w:r w:rsidDel="00000000" w:rsidR="00000000" w:rsidRPr="00000000">
        <w:rPr>
          <w:rFonts w:ascii="Times New Roman" w:cs="Times New Roman" w:eastAsia="Times New Roman" w:hAnsi="Times New Roman"/>
          <w:b w:val="1"/>
          <w:bCs w:val="1"/>
          <w:i w:val="1"/>
          <w:iCs w:val="1"/>
          <w:sz w:val="24"/>
          <w:szCs w:val="24"/>
          <w:rtl w:val="0"/>
        </w:rPr>
        <w:t xml:space="preserve"> Т.М.</w:t>
      </w:r>
      <w:r w:rsidDel="00000000" w:rsidR="00000000" w:rsidRPr="00000000">
        <w:rPr>
          <w:rFonts w:ascii="Times New Roman" w:cs="Times New Roman" w:eastAsia="Times New Roman" w:hAnsi="Times New Roman"/>
          <w:b w:val="1"/>
          <w:bCs w:val="1"/>
          <w:i w:val="1"/>
          <w:iCs w:val="1"/>
          <w:sz w:val="24"/>
          <w:szCs w:val="24"/>
          <w:vertAlign w:val="superscript"/>
          <w:rtl w:val="0"/>
        </w:rPr>
        <w:t xml:space="preserve"> </w:t>
      </w:r>
      <w:r w:rsidDel="00000000" w:rsidR="00000000" w:rsidRPr="00000000">
        <w:rPr>
          <w:rtl w:val="0"/>
        </w:rPr>
      </w:r>
    </w:p>
    <w:p w:rsidR="00000000" w:rsidDel="00000000" w:rsidP="00000000" w:rsidRDefault="00000000" w:rsidRPr="00000000" w14:paraId="00000003">
      <w:pPr>
        <w:shd w:fill="ffffff" w:val="clear"/>
        <w:spacing w:after="240" w:before="240" w:line="240" w:lineRule="auto"/>
        <w:jc w:val="center"/>
        <w:rPr>
          <w:rFonts w:ascii="Times New Roman" w:cs="Times New Roman" w:eastAsia="Times New Roman" w:hAnsi="Times New Roman"/>
          <w:i w:val="1"/>
          <w:iCs w:val="1"/>
          <w:sz w:val="24"/>
          <w:szCs w:val="24"/>
          <w:highlight w:val="yellow"/>
        </w:rPr>
      </w:pPr>
      <w:r w:rsidDel="00000000" w:rsidR="00000000" w:rsidRPr="00000000">
        <w:rPr>
          <w:rFonts w:ascii="Times New Roman" w:cs="Times New Roman" w:eastAsia="Times New Roman" w:hAnsi="Times New Roman"/>
          <w:i w:val="1"/>
          <w:iCs w:val="1"/>
          <w:sz w:val="24"/>
          <w:szCs w:val="24"/>
          <w:rtl w:val="0"/>
        </w:rPr>
        <w:t xml:space="preserve">Студент, 4 курс бакалавриата</w:t>
      </w:r>
      <w:r w:rsidDel="00000000" w:rsidR="00000000" w:rsidRPr="00000000">
        <w:rPr>
          <w:rtl w:val="0"/>
        </w:rPr>
      </w:r>
    </w:p>
    <w:p w:rsidR="00000000" w:rsidDel="00000000" w:rsidP="00000000" w:rsidRDefault="00000000" w:rsidRPr="00000000" w14:paraId="00000004">
      <w:pPr>
        <w:shd w:fill="ffffff" w:val="clear"/>
        <w:spacing w:after="240" w:before="240" w:line="240" w:lineRule="auto"/>
        <w:jc w:val="center"/>
        <w:rPr>
          <w:rFonts w:ascii="Times New Roman" w:cs="Times New Roman" w:eastAsia="Times New Roman" w:hAnsi="Times New Roman"/>
          <w:i w:val="1"/>
          <w:iCs w:val="1"/>
          <w:sz w:val="24"/>
          <w:szCs w:val="24"/>
          <w:highlight w:val="yellow"/>
        </w:rPr>
      </w:pPr>
      <w:r w:rsidDel="00000000" w:rsidR="00000000" w:rsidRPr="00000000">
        <w:rPr>
          <w:rFonts w:ascii="Times New Roman" w:cs="Times New Roman" w:eastAsia="Times New Roman" w:hAnsi="Times New Roman"/>
          <w:i w:val="1"/>
          <w:iCs w:val="1"/>
          <w:sz w:val="24"/>
          <w:szCs w:val="24"/>
          <w:rtl w:val="0"/>
        </w:rPr>
        <w:t xml:space="preserve">Национальный исследовательский университет «Высшая школа экономики», Москва, Россия</w:t>
      </w:r>
      <w:r w:rsidDel="00000000" w:rsidR="00000000" w:rsidRPr="00000000">
        <w:rPr>
          <w:rtl w:val="0"/>
        </w:rPr>
      </w:r>
    </w:p>
    <w:p w:rsidR="00000000" w:rsidDel="00000000" w:rsidP="00000000" w:rsidRDefault="00000000" w:rsidRPr="00000000" w14:paraId="00000005">
      <w:pPr>
        <w:shd w:fill="ffffff" w:val="clear"/>
        <w:spacing w:after="0" w:before="20" w:line="240" w:lineRule="auto"/>
        <w:jc w:val="center"/>
        <w:rPr>
          <w:rFonts w:ascii="Times New Roman" w:cs="Times New Roman" w:eastAsia="Times New Roman" w:hAnsi="Times New Roman"/>
          <w:i w:val="1"/>
          <w:iCs w:val="1"/>
          <w:sz w:val="24"/>
          <w:szCs w:val="24"/>
          <w:highlight w:val="yellow"/>
        </w:rPr>
      </w:pPr>
      <w:r w:rsidDel="00000000" w:rsidR="00000000" w:rsidRPr="00000000">
        <w:rPr>
          <w:rFonts w:ascii="Times New Roman" w:cs="Times New Roman" w:eastAsia="Times New Roman" w:hAnsi="Times New Roman"/>
          <w:i w:val="1"/>
          <w:iCs w:val="1"/>
          <w:sz w:val="24"/>
          <w:szCs w:val="24"/>
          <w:rtl w:val="0"/>
        </w:rPr>
        <w:t xml:space="preserve">E-mail: </w:t>
      </w:r>
      <w:hyperlink r:id="rId6">
        <w:r w:rsidDel="00000000" w:rsidR="00000000" w:rsidRPr="00000000">
          <w:rPr>
            <w:rFonts w:ascii="Times New Roman" w:cs="Times New Roman" w:eastAsia="Times New Roman" w:hAnsi="Times New Roman"/>
            <w:i w:val="1"/>
            <w:iCs w:val="1"/>
            <w:color w:val="1155cc"/>
            <w:sz w:val="24"/>
            <w:szCs w:val="24"/>
            <w:u w:val="single"/>
            <w:rtl w:val="0"/>
          </w:rPr>
          <w:t xml:space="preserve">tlyskovich@gmail.com</w:t>
        </w:r>
      </w:hyperlink>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tl w:val="0"/>
        </w:rPr>
      </w:r>
    </w:p>
    <w:p w:rsidR="00000000" w:rsidDel="00000000" w:rsidP="00000000" w:rsidRDefault="00000000" w:rsidRPr="00000000" w14:paraId="00000006">
      <w:pPr>
        <w:shd w:fill="ffffff" w:val="clear"/>
        <w:spacing w:after="240" w:before="240" w:line="240" w:lineRule="auto"/>
        <w:ind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2025 г. уровень фертильности в Республике Корея (РК) был самым низким в мире (0,8). </w:t>
      </w:r>
      <w:r w:rsidDel="00000000" w:rsidR="00000000" w:rsidRPr="00000000">
        <w:rPr>
          <w:rFonts w:ascii="Times New Roman" w:cs="Times New Roman" w:eastAsia="Times New Roman" w:hAnsi="Times New Roman"/>
          <w:sz w:val="24"/>
          <w:szCs w:val="24"/>
          <w:rtl w:val="0"/>
        </w:rPr>
        <w:t xml:space="preserve">Перед РК встала серьезная проблема - демографический кризис, который может привести к непредсказуемым  последствиям. В то время как п</w:t>
      </w:r>
      <w:r w:rsidDel="00000000" w:rsidR="00000000" w:rsidRPr="00000000">
        <w:rPr>
          <w:rFonts w:ascii="Times New Roman" w:cs="Times New Roman" w:eastAsia="Times New Roman" w:hAnsi="Times New Roman"/>
          <w:sz w:val="24"/>
          <w:szCs w:val="24"/>
          <w:rtl w:val="0"/>
        </w:rPr>
        <w:t xml:space="preserve">ронаталистская государственная политика, целью которой стоит повышение суммарного коэффициента рождаемости до уровня базового воспроизводства населения (2,1), за два десятилетия не принесла результаты, крупные корпорации совершили впечатляющее расширение собственных программ поддержки семей с детьми.</w:t>
      </w:r>
    </w:p>
    <w:p w:rsidR="00000000" w:rsidDel="00000000" w:rsidP="00000000" w:rsidRDefault="00000000" w:rsidRPr="00000000" w14:paraId="00000007">
      <w:pPr>
        <w:shd w:fill="ffffff" w:val="clear"/>
        <w:spacing w:after="240" w:before="240" w:line="240" w:lineRule="auto"/>
        <w:ind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Цель настоящего исследования - изучение ключевых направлений и потенциальной эффективности корпоративных практик, направленных на поддержку сотрудников с детьми в пяти крупнейших компаниях Республики Корея. Для достижения цели был проведен анализ динамики общей рождаемости РК в 2023 г. по группам населения и регионам проживания, основанные на официальных статистических данных, оценены корпоративные меры поддержки сотрудников, а также изучены различные отчеты компаний </w:t>
      </w:r>
      <w:r w:rsidDel="00000000" w:rsidR="00000000" w:rsidRPr="00000000">
        <w:rPr>
          <w:rFonts w:ascii="Times New Roman" w:cs="Times New Roman" w:eastAsia="Times New Roman" w:hAnsi="Times New Roman"/>
          <w:i w:val="1"/>
          <w:iCs w:val="1"/>
          <w:sz w:val="24"/>
          <w:szCs w:val="24"/>
          <w:rtl w:val="0"/>
        </w:rPr>
        <w:t xml:space="preserve">Samsung Electronics, LG Electronics, Hyundai Motor Company, NAVER</w:t>
      </w:r>
      <w:r w:rsidDel="00000000" w:rsidR="00000000" w:rsidRPr="00000000">
        <w:rPr>
          <w:rFonts w:ascii="Times New Roman" w:cs="Times New Roman" w:eastAsia="Times New Roman" w:hAnsi="Times New Roman"/>
          <w:sz w:val="24"/>
          <w:szCs w:val="24"/>
          <w:rtl w:val="0"/>
        </w:rPr>
        <w:t xml:space="preserve"> и </w:t>
      </w:r>
      <w:r w:rsidDel="00000000" w:rsidR="00000000" w:rsidRPr="00000000">
        <w:rPr>
          <w:rFonts w:ascii="Times New Roman" w:cs="Times New Roman" w:eastAsia="Times New Roman" w:hAnsi="Times New Roman"/>
          <w:i w:val="1"/>
          <w:iCs w:val="1"/>
          <w:sz w:val="24"/>
          <w:szCs w:val="24"/>
          <w:rtl w:val="0"/>
        </w:rPr>
        <w:t xml:space="preserve">Kakao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shd w:fill="ffffff" w:val="clear"/>
        <w:spacing w:after="240" w:before="240" w:line="240" w:lineRule="auto"/>
        <w:ind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Результаты исследования показали, что в отсутствии развитой государственной системы охраны материнства, в крупных компаниях РК поощрение оплачиваемого отцовского отпуска приводит к заметному росту вероятности рождения ребенка, поскольку снижает барьеры для участия мужчин в уходе за детьми [2]. Однако эффект от подобных мер не ощутим, если сотрудники ожидают штрафов на работе за использование отпуска и не уверены, что после возвращения сохранят прежние условия труда [4]. Использование отдельных программ поддержки, в частности, отпуска по беременности и родам, связано с более высокими намерениями иметь дополнительного ребенка, однако длительные перерывы в занятости могут замедлять рост уровня дохода, что значительно сдерживает демографический эффект подобных мер [3]. Даже при наличии поддержки ключевым препятствием остается корпоративная культура, сохраняющая высокую нагрузку на женщин и слабую совместимость работы с семейными обязанностями, что заставляет трудоустроенных женщин откладывать рождение ребенка [1].</w:t>
      </w:r>
    </w:p>
    <w:p w:rsidR="00000000" w:rsidDel="00000000" w:rsidP="00000000" w:rsidRDefault="00000000" w:rsidRPr="00000000" w14:paraId="00000009">
      <w:pPr>
        <w:shd w:fill="ffffff" w:val="clear"/>
        <w:spacing w:after="240" w:before="240" w:line="240" w:lineRule="auto"/>
        <w:ind w:firstLine="566.92913385826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Результаты проведенного анализа показали, что крупнейшие компании РК готовы предоставлять различную поддержку для беременных сотрудников и родителей детей сверх минимума, </w:t>
      </w:r>
      <w:r w:rsidDel="00000000" w:rsidR="00000000" w:rsidRPr="00000000">
        <w:rPr>
          <w:rFonts w:ascii="Times New Roman" w:cs="Times New Roman" w:eastAsia="Times New Roman" w:hAnsi="Times New Roman"/>
          <w:sz w:val="24"/>
          <w:szCs w:val="24"/>
          <w:rtl w:val="0"/>
        </w:rPr>
        <w:t xml:space="preserve">требуемого </w:t>
      </w:r>
      <w:r w:rsidDel="00000000" w:rsidR="00000000" w:rsidRPr="00000000">
        <w:rPr>
          <w:rFonts w:ascii="Times New Roman" w:cs="Times New Roman" w:eastAsia="Times New Roman" w:hAnsi="Times New Roman"/>
          <w:sz w:val="24"/>
          <w:szCs w:val="24"/>
          <w:rtl w:val="0"/>
        </w:rPr>
        <w:t xml:space="preserve">Трудовым Кодексом РК. Они включают нефинансовые до и послеродовые меры, например, сокращенный рабочий день или дополнительные дни отпуска. Давно укрепившиеся в экономике промышленные конгломераты </w:t>
      </w:r>
      <w:r w:rsidDel="00000000" w:rsidR="00000000" w:rsidRPr="00000000">
        <w:rPr>
          <w:rFonts w:ascii="Times New Roman" w:cs="Times New Roman" w:eastAsia="Times New Roman" w:hAnsi="Times New Roman"/>
          <w:i w:val="1"/>
          <w:iCs w:val="1"/>
          <w:sz w:val="24"/>
          <w:szCs w:val="24"/>
          <w:rtl w:val="0"/>
        </w:rPr>
        <w:t xml:space="preserve">чеболи</w:t>
      </w:r>
      <w:r w:rsidDel="00000000" w:rsidR="00000000" w:rsidRPr="00000000">
        <w:rPr>
          <w:rFonts w:ascii="Times New Roman" w:cs="Times New Roman" w:eastAsia="Times New Roman" w:hAnsi="Times New Roman"/>
          <w:sz w:val="24"/>
          <w:szCs w:val="24"/>
          <w:rtl w:val="0"/>
        </w:rPr>
        <w:t xml:space="preserve"> в меньшей мере оказывают помощь своим сотрудникам, а новые IT-гиганты, наоборот, предлагают самый большой социальный пакет, как в виде рекордной по срокам нефинансовой, так и материальной поддержки. Более 90% сотрудников всех рассмотренных компаний продолжают трудоустройство в течение 12 месяцев после выхода из декретного отпуска или отпуска по уходу за ребенком. Более того, в </w:t>
      </w:r>
      <w:r w:rsidDel="00000000" w:rsidR="00000000" w:rsidRPr="00000000">
        <w:rPr>
          <w:rFonts w:ascii="Times New Roman" w:cs="Times New Roman" w:eastAsia="Times New Roman" w:hAnsi="Times New Roman"/>
          <w:i w:val="1"/>
          <w:iCs w:val="1"/>
          <w:sz w:val="24"/>
          <w:szCs w:val="24"/>
          <w:rtl w:val="0"/>
        </w:rPr>
        <w:t xml:space="preserve">Samsung Electronics</w:t>
      </w:r>
      <w:r w:rsidDel="00000000" w:rsidR="00000000" w:rsidRPr="00000000">
        <w:rPr>
          <w:rFonts w:ascii="Times New Roman" w:cs="Times New Roman" w:eastAsia="Times New Roman" w:hAnsi="Times New Roman"/>
          <w:sz w:val="24"/>
          <w:szCs w:val="24"/>
          <w:rtl w:val="0"/>
        </w:rPr>
        <w:t xml:space="preserve"> и </w:t>
      </w:r>
      <w:r w:rsidDel="00000000" w:rsidR="00000000" w:rsidRPr="00000000">
        <w:rPr>
          <w:rFonts w:ascii="Times New Roman" w:cs="Times New Roman" w:eastAsia="Times New Roman" w:hAnsi="Times New Roman"/>
          <w:i w:val="1"/>
          <w:iCs w:val="1"/>
          <w:sz w:val="24"/>
          <w:szCs w:val="24"/>
          <w:rtl w:val="0"/>
        </w:rPr>
        <w:t xml:space="preserve">Kakao </w:t>
      </w:r>
      <w:r w:rsidDel="00000000" w:rsidR="00000000" w:rsidRPr="00000000">
        <w:rPr>
          <w:rFonts w:ascii="Times New Roman" w:cs="Times New Roman" w:eastAsia="Times New Roman" w:hAnsi="Times New Roman"/>
          <w:sz w:val="24"/>
          <w:szCs w:val="24"/>
          <w:rtl w:val="0"/>
        </w:rPr>
        <w:t xml:space="preserve">наблюдается высокий уровень рождаемости у сотрудников в сравнении со средним показателем по РК, что говорит об успешном опыте применения корпоративных стратегий южнокорейскими компаниями, как в направлении адаптации к демографическому кризису, так и в повышении рождаемости в стране.</w:t>
      </w:r>
    </w:p>
    <w:p w:rsidR="00000000" w:rsidDel="00000000" w:rsidP="00000000" w:rsidRDefault="00000000" w:rsidRPr="00000000" w14:paraId="0000000A">
      <w:pPr>
        <w:shd w:fill="ffffff" w:val="clear"/>
        <w:spacing w:after="240" w:before="240" w:line="240" w:lineRule="auto"/>
        <w:ind w:firstLine="566.929133858267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hd w:fill="ffffff" w:val="clea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Источники и литература</w:t>
      </w:r>
    </w:p>
    <w:p w:rsidR="00000000" w:rsidDel="00000000" w:rsidP="00000000" w:rsidRDefault="00000000" w:rsidRPr="00000000" w14:paraId="0000000C">
      <w:pPr>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Boue J., Hicks D., Hu L. Seeking Transformational Policies for Gender Equality in South Korea. Santa Monica, 2025.</w:t>
      </w:r>
    </w:p>
    <w:p w:rsidR="00000000" w:rsidDel="00000000" w:rsidP="00000000" w:rsidRDefault="00000000" w:rsidRPr="00000000" w14:paraId="0000000D">
      <w:pPr>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Lee T., Lee J. Mandated Paternity Leave and Fertility: Evidence from South Korea. 2025.</w:t>
      </w:r>
    </w:p>
    <w:p w:rsidR="00000000" w:rsidDel="00000000" w:rsidP="00000000" w:rsidRDefault="00000000" w:rsidRPr="00000000" w14:paraId="0000000E">
      <w:pPr>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Park K.T. Family-Friendly Workplace Programs and the Consequences for Women Workers in Korea. PhD diss. University of Hawai‘i at Mānoa. Honolulu, 2018.</w:t>
      </w:r>
    </w:p>
    <w:p w:rsidR="00000000" w:rsidDel="00000000" w:rsidP="00000000" w:rsidRDefault="00000000" w:rsidRPr="00000000" w14:paraId="0000000F">
      <w:pPr>
        <w:shd w:fill="ffffff" w:val="clea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Petrova K. Parental Leave, Labor Market Dualization, and Fertility in South Korea. SSRN Working Paper. 2024.</w:t>
      </w:r>
    </w:p>
    <w:p w:rsidR="00000000" w:rsidDel="00000000" w:rsidP="00000000" w:rsidRDefault="00000000" w:rsidRPr="00000000" w14:paraId="00000010">
      <w:pPr>
        <w:shd w:fill="ffffff" w:val="clear"/>
        <w:spacing w:after="240" w:before="240" w:line="240" w:lineRule="auto"/>
        <w:ind w:firstLine="4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before="20" w:line="240" w:lineRule="auto"/>
        <w:rPr>
          <w:rFonts w:ascii="Times New Roman" w:cs="Times New Roman" w:eastAsia="Times New Roman" w:hAnsi="Times New Roman"/>
          <w:sz w:val="24"/>
          <w:szCs w:val="24"/>
        </w:rPr>
      </w:pPr>
      <w:r w:rsidDel="00000000" w:rsidR="00000000" w:rsidRPr="00000000">
        <w:rPr>
          <w:rtl w:val="0"/>
        </w:rPr>
      </w:r>
    </w:p>
    <w:sectPr>
      <w:pgSz w:h="16834" w:w="11909" w:orient="portrait"/>
      <w:pgMar w:bottom="1133.8582677165355" w:top="1133.8582677165355" w:left="1360.6299212598426" w:right="1360.629921259842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lyskovi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