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A066" w14:textId="77777777" w:rsidR="00067536" w:rsidRPr="00A23944" w:rsidRDefault="00000000">
      <w:pPr>
        <w:jc w:val="center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</w:rPr>
        <w:t>Сотрудничество и соперничество РФ и КНР в Центральной Азии и роль ШОС</w:t>
      </w:r>
    </w:p>
    <w:p w14:paraId="358D5EF6" w14:textId="77777777" w:rsidR="00067536" w:rsidRPr="00A23944" w:rsidRDefault="00067536">
      <w:pPr>
        <w:jc w:val="center"/>
        <w:rPr>
          <w:rFonts w:ascii="Calibri" w:eastAsia="宋体" w:hAnsi="Calibri" w:cs="Times New Roman"/>
          <w:kern w:val="0"/>
          <w:szCs w:val="22"/>
          <w:lang w:val="ru-RU"/>
        </w:rPr>
      </w:pPr>
    </w:p>
    <w:p w14:paraId="4F57F920" w14:textId="77777777" w:rsidR="00067536" w:rsidRPr="00A23944" w:rsidRDefault="00000000">
      <w:pPr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</w:rPr>
      </w:pPr>
      <w:r w:rsidRPr="00A23944"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</w:rPr>
        <w:t xml:space="preserve">Чжоу Сюаньюй, </w:t>
      </w:r>
      <w:r w:rsidRPr="00A23944">
        <w:rPr>
          <w:rFonts w:ascii="Times New Roman" w:eastAsia="Times New Roman" w:hAnsi="Times New Roman" w:cs="Times New Roman" w:hint="eastAsia"/>
          <w:i/>
          <w:iCs/>
          <w:kern w:val="0"/>
          <w:sz w:val="24"/>
          <w:lang w:val="ru-RU"/>
        </w:rPr>
        <w:t>студент НИУ ВШЭ</w:t>
      </w:r>
    </w:p>
    <w:p w14:paraId="782DE95C" w14:textId="77777777" w:rsidR="00067536" w:rsidRPr="00A23944" w:rsidRDefault="00067536">
      <w:pPr>
        <w:rPr>
          <w:rFonts w:ascii="Calibri" w:eastAsia="宋体" w:hAnsi="Calibri" w:cs="Times New Roman"/>
          <w:kern w:val="0"/>
          <w:szCs w:val="22"/>
          <w:lang w:val="ru-RU"/>
        </w:rPr>
      </w:pPr>
    </w:p>
    <w:p w14:paraId="22E138F1" w14:textId="77777777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После распада СССР Центральная Азия стала ареной сложного взаимодействия России и Китая, характер которого варьируется от стратегического сотрудничества до скрытого соперничества. Шанхайская организация сотрудничества (ШОС), созданная в 2001 г., выступает ключевой институциональной платформой координации интересов двух держав в регионе. Однако вопрос о факторах, определяющих соотношение кооперативных и конкурентных элементов в российско-китайском взаимодействии, остаётся дискуссионным.</w:t>
      </w:r>
    </w:p>
    <w:p w14:paraId="68B90681" w14:textId="284D2126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В западной историографии (Б. Ло, П. Стронски и Н. Нг) партнёрство РФ и КНР трактуется как прагматичная «ось удобства» с нарастающей асимметрией в пользу Китая и прогнозом углубления соперничества [</w:t>
      </w:r>
      <w:r w:rsidR="00A23944">
        <w:rPr>
          <w:rFonts w:ascii="Times New Roman" w:eastAsia="Times New Roman" w:hAnsi="Times New Roman" w:cs="Times New Roman"/>
          <w:kern w:val="0"/>
          <w:sz w:val="24"/>
        </w:rPr>
        <w:fldChar w:fldCharType="begin"/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</w:instrText>
      </w:r>
      <w:r w:rsidR="00A23944">
        <w:rPr>
          <w:rFonts w:ascii="Times New Roman" w:eastAsia="Times New Roman" w:hAnsi="Times New Roman" w:cs="Times New Roman"/>
          <w:kern w:val="0"/>
          <w:sz w:val="24"/>
        </w:rPr>
        <w:instrText>REF</w:instrText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_</w:instrText>
      </w:r>
      <w:r w:rsidR="00A23944">
        <w:rPr>
          <w:rFonts w:ascii="Times New Roman" w:eastAsia="Times New Roman" w:hAnsi="Times New Roman" w:cs="Times New Roman"/>
          <w:kern w:val="0"/>
          <w:sz w:val="24"/>
        </w:rPr>
        <w:instrText>Ref</w:instrText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>15018 \</w:instrText>
      </w:r>
      <w:r w:rsidR="00A23944">
        <w:rPr>
          <w:rFonts w:ascii="Times New Roman" w:eastAsia="Times New Roman" w:hAnsi="Times New Roman" w:cs="Times New Roman"/>
          <w:kern w:val="0"/>
          <w:sz w:val="24"/>
        </w:rPr>
        <w:instrText>r</w:instrText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\</w:instrText>
      </w:r>
      <w:r w:rsidR="00A23944">
        <w:rPr>
          <w:rFonts w:ascii="Times New Roman" w:eastAsia="Times New Roman" w:hAnsi="Times New Roman" w:cs="Times New Roman"/>
          <w:kern w:val="0"/>
          <w:sz w:val="24"/>
        </w:rPr>
        <w:instrText>h</w:instrText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</w:instrText>
      </w:r>
      <w:r w:rsidR="00A23944">
        <w:rPr>
          <w:rFonts w:ascii="Times New Roman" w:eastAsia="Times New Roman" w:hAnsi="Times New Roman" w:cs="Times New Roman"/>
          <w:kern w:val="0"/>
          <w:sz w:val="24"/>
        </w:rPr>
      </w:r>
      <w:r w:rsidR="00A23944">
        <w:rPr>
          <w:rFonts w:ascii="Times New Roman" w:eastAsia="Times New Roman" w:hAnsi="Times New Roman" w:cs="Times New Roman"/>
          <w:kern w:val="0"/>
          <w:sz w:val="24"/>
        </w:rPr>
        <w:fldChar w:fldCharType="separate"/>
      </w:r>
      <w:r w:rsidR="00A23944"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1</w:t>
      </w:r>
      <w:r w:rsidR="00A23944">
        <w:rPr>
          <w:rFonts w:ascii="Times New Roman" w:eastAsia="Times New Roman" w:hAnsi="Times New Roman" w:cs="Times New Roman"/>
          <w:kern w:val="0"/>
          <w:sz w:val="24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;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begin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REF _Ref223387751 \r \h </w:instrTex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separate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t>2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]. Российские и китайские учёные (А.В. Лукин, Чжао Хуашэн) придерживаются более оптимистичной оценки, подчёркивая взаимодополняемость интересов сторон и разграничивая экономическую конкуренцию предприятий и политическую конфронтацию государств [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begin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REF _Ref223387788 \r \h </w:instrTex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separate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t>3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;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begin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REF _Ref223387800 \r \h </w:instrTex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separate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t>4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]. Однако ни один из подходов не предложил объяснительной модели, связывающей колебания характера взаимодействия с изменениями внешнеполитического контекста.</w:t>
      </w:r>
    </w:p>
    <w:p w14:paraId="46425C5E" w14:textId="09AA7BAB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Источниковую базу составляют документы ШОС (Шанхайская конвенция 2001 г., декларации саммитов), двусторонние российско-китайские заявления, статистические данные Главного таможенного управления КНР и ФТС РФ. Методологическая основа — неоклассический реализм Н. Рипсмана, Дж. Тальяферро и С. Лобелла, в частности концепция «стратегической среды» с выделением разрешающего и ограничивающего типов [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begin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REF _Ref223387815 \r \h </w:instrTex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separate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t>5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]. Новизна подхода состоит в применении данной теоретической рамки для периодизации российско-китайского взаимодействия в регионе. Гипотеза: характер отношений РФ и КНР и эффективность ШОС напрямую зависят от ясности внешних угроз.</w:t>
      </w:r>
    </w:p>
    <w:p w14:paraId="02330F35" w14:textId="77777777" w:rsidR="00067536" w:rsidRPr="00A23944" w:rsidRDefault="00000000">
      <w:pPr>
        <w:spacing w:before="60" w:after="60"/>
        <w:jc w:val="center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ru-RU"/>
        </w:rPr>
        <w:t>Таблица 1. Институциональное развитие ШОС по периодам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184"/>
        <w:gridCol w:w="2600"/>
      </w:tblGrid>
      <w:tr w:rsidR="00067536" w14:paraId="40A3EDE4" w14:textId="77777777"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70B431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289BF3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Ключевые события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952E9E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Характер среды</w:t>
            </w:r>
          </w:p>
        </w:tc>
      </w:tr>
      <w:tr w:rsidR="00067536" w14:paraId="00C6EAFB" w14:textId="77777777"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F6C2B1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2001–2008</w:t>
            </w:r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34D5C2" w14:textId="77777777" w:rsidR="00067536" w:rsidRPr="00A23944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  <w:lang w:val="ru-RU"/>
              </w:rPr>
            </w:pPr>
            <w:r w:rsidRPr="00A2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  <w:t>Создание ШОС (2001), РАТС (2004), «Мирная миссия» (2005)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97EEE9" w14:textId="77777777" w:rsidR="00067536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Высокая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угроз</w:t>
            </w:r>
            <w:proofErr w:type="spellEnd"/>
          </w:p>
        </w:tc>
      </w:tr>
      <w:tr w:rsidR="00067536" w14:paraId="0E6EC56E" w14:textId="77777777"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47F089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2014–2021</w:t>
            </w:r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ABC5DD" w14:textId="77777777" w:rsidR="00067536" w:rsidRPr="00A23944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  <w:lang w:val="ru-RU"/>
              </w:rPr>
            </w:pPr>
            <w:r w:rsidRPr="00A2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  <w:t>Сопряжение ЕАЭС–ЭПШП (2015), расширение ШОС (Индия, Пакистан, 2017)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F5C4E1" w14:textId="77777777" w:rsidR="00067536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Умеренная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угроз</w:t>
            </w:r>
            <w:proofErr w:type="spellEnd"/>
          </w:p>
        </w:tc>
      </w:tr>
      <w:tr w:rsidR="00067536" w14:paraId="5440E2F8" w14:textId="77777777"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345C7A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2022–2024</w:t>
            </w:r>
          </w:p>
        </w:tc>
        <w:tc>
          <w:tcPr>
            <w:tcW w:w="4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4AA858" w14:textId="77777777" w:rsidR="00067536" w:rsidRPr="00A23944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  <w:lang w:val="ru-RU"/>
              </w:rPr>
            </w:pPr>
            <w:r w:rsidRPr="00A2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  <w:t>Приём Ирана (2023), Беларуси (2024), учения «Взаимодействие-2024»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A451E2" w14:textId="77777777" w:rsidR="00067536" w:rsidRDefault="00000000">
            <w:pPr>
              <w:jc w:val="left"/>
              <w:rPr>
                <w:rFonts w:ascii="Calibri" w:eastAsia="宋体" w:hAnsi="Calibri" w:cs="Times New Roman"/>
                <w:kern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Высокая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угроз</w:t>
            </w:r>
            <w:proofErr w:type="spellEnd"/>
          </w:p>
        </w:tc>
      </w:tr>
    </w:tbl>
    <w:p w14:paraId="7E1B4501" w14:textId="77777777" w:rsidR="00067536" w:rsidRDefault="00000000">
      <w:pPr>
        <w:jc w:val="left"/>
        <w:rPr>
          <w:rFonts w:ascii="Calibri" w:eastAsia="宋体" w:hAnsi="Calibri" w:cs="Times New Roman"/>
          <w:kern w:val="0"/>
          <w:szCs w:val="22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Составлена автором</w:t>
      </w:r>
    </w:p>
    <w:p w14:paraId="3B875CC6" w14:textId="77777777" w:rsidR="00067536" w:rsidRDefault="00067536">
      <w:pPr>
        <w:rPr>
          <w:rFonts w:ascii="Calibri" w:eastAsia="宋体" w:hAnsi="Calibri" w:cs="Times New Roman"/>
          <w:kern w:val="0"/>
          <w:szCs w:val="22"/>
        </w:rPr>
      </w:pPr>
    </w:p>
    <w:p w14:paraId="06A7B560" w14:textId="77777777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В 2001–2008 гг. высокая ясность общих угроз (терроризм, западное военное присутствие в Афганистане) стимулировала интенсивное институциональное строительство: созданы РАТС (2004 г.), начаты учения «Мирная миссия» (2005 г.). Товарооборот КНР с Центральной Азией вырос с 1,5 до 25 млрд долл. при минимальном институциональном соперничестве. ШОС выступала координационной площадкой в сфере безопасности; саммит 2005 г. в Астане принял декларацию, призывающую установить сроки вывода войск из Афганистана.</w:t>
      </w:r>
    </w:p>
    <w:p w14:paraId="49DDEF32" w14:textId="77777777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В 2014–2021 гг. умеренная ясность угроз (ограниченные санкции после 2014 г.) привела к нарастанию соперничества. Россия блокировала китайские инициативы в ШОС (создание Банка развития, зоны свободной торговли), развивая параллельные структуры ЕАЭС. Декларация о сопряжении ЕАЭС и ЭПШП (2015 г.) осталась во многом декларативной. Торговый оборот КНР с регионом снизился с 50 до 38,6 млрд долл., однако накопленные китайские инвестиции достигли ~40 млрд долл. к 2020 г., усиливая экономическую асимметрию.</w:t>
      </w:r>
    </w:p>
    <w:p w14:paraId="2DB50399" w14:textId="2D1D71CB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lastRenderedPageBreak/>
        <w:t>В 2022–2024 гг. масштабные западные санкции создали максимальную ясность угроз для России, обусловив возврат к доминированию сотрудничества. Двусторонняя торговля РФ–КНР выросла со 147 до более чем 200 млрд долл. Доля стран ШОС в российском экспорте увеличилась с 26,7 до 59,6 % [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begin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instrText xml:space="preserve"> REF _Ref223387832 \r \h </w:instrTex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separate"/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t>6</w:t>
      </w:r>
      <w:r w:rsidR="00A23944">
        <w:rPr>
          <w:rFonts w:ascii="Times New Roman" w:eastAsia="Times New Roman" w:hAnsi="Times New Roman" w:cs="Times New Roman"/>
          <w:kern w:val="0"/>
          <w:sz w:val="24"/>
          <w:lang w:val="ru-RU"/>
        </w:rPr>
        <w:fldChar w:fldCharType="end"/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]. Россия отказалась от блокирования китайских инициатив; ШОС расширилась за счёт приёма Ирана (2023 г.) и Беларуси (2024 г.), трансформируясь в платформу координации незападных государств.</w:t>
      </w:r>
    </w:p>
    <w:p w14:paraId="23F8FC6A" w14:textId="77777777" w:rsidR="00067536" w:rsidRDefault="00000000">
      <w:pPr>
        <w:spacing w:before="60" w:after="60"/>
        <w:jc w:val="center"/>
        <w:rPr>
          <w:rFonts w:ascii="Calibri" w:eastAsia="宋体" w:hAnsi="Calibri" w:cs="Times New Roman"/>
          <w:kern w:val="0"/>
          <w:szCs w:val="22"/>
        </w:rPr>
      </w:pPr>
      <w:r w:rsidRPr="00A2394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ru-RU"/>
        </w:rPr>
        <w:t xml:space="preserve">Таблица 2. Торговый оборот КНР с Центральной Азией (млрд долл.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США)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00"/>
        <w:gridCol w:w="2184"/>
        <w:gridCol w:w="2600"/>
      </w:tblGrid>
      <w:tr w:rsidR="00067536" w14:paraId="2D178A98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94BC42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Год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767FC9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Оборот (млрд долл.)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AB528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Рост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71CC2A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Среда</w:t>
            </w:r>
          </w:p>
        </w:tc>
      </w:tr>
      <w:tr w:rsidR="00067536" w14:paraId="5436369D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4C4747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2008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2DAA8D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25.0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A948DD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719D86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Ясная</w:t>
            </w:r>
          </w:p>
        </w:tc>
      </w:tr>
      <w:tr w:rsidR="00067536" w14:paraId="40E6116C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BFF1F0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1F31C1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50,0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6CEB31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+8 %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28E330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Умеренная</w:t>
            </w:r>
          </w:p>
        </w:tc>
      </w:tr>
      <w:tr w:rsidR="00067536" w14:paraId="70312EDA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B7BB9A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2D279C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38,6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81EC43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−5 %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D4D917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Умеренная</w:t>
            </w:r>
          </w:p>
        </w:tc>
      </w:tr>
      <w:tr w:rsidR="00067536" w14:paraId="4E2FAC52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0ED326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CD7099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70,2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F666F7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+82 %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9AD55A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Ясная</w:t>
            </w:r>
          </w:p>
        </w:tc>
      </w:tr>
      <w:tr w:rsidR="00067536" w14:paraId="109FB079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E5F5AA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34FB85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89,4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B406EE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+27 %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4C9010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Ясная</w:t>
            </w:r>
          </w:p>
        </w:tc>
      </w:tr>
      <w:tr w:rsidR="00067536" w14:paraId="2589DCC6" w14:textId="77777777">
        <w:tc>
          <w:tcPr>
            <w:tcW w:w="1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BEB106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895ECF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94,8</w:t>
            </w:r>
          </w:p>
        </w:tc>
        <w:tc>
          <w:tcPr>
            <w:tcW w:w="2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D13F83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+6 %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1BEB34" w14:textId="77777777" w:rsidR="00067536" w:rsidRDefault="00000000">
            <w:pPr>
              <w:jc w:val="center"/>
              <w:rPr>
                <w:rFonts w:ascii="Calibri" w:eastAsia="宋体" w:hAnsi="Calibri" w:cs="Times New Roman"/>
                <w:kern w:val="0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Ясная</w:t>
            </w:r>
          </w:p>
        </w:tc>
      </w:tr>
    </w:tbl>
    <w:p w14:paraId="3C9BF500" w14:textId="77777777" w:rsidR="00067536" w:rsidRPr="00A23944" w:rsidRDefault="00000000">
      <w:pPr>
        <w:jc w:val="left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0"/>
          <w:szCs w:val="20"/>
          <w:lang w:val="ru-RU"/>
        </w:rPr>
        <w:t>Таблица 2:</w:t>
      </w:r>
      <w:r w:rsidRPr="00A2394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ru-RU"/>
        </w:rPr>
        <w:t xml:space="preserve"> </w:t>
      </w:r>
      <w:r w:rsidRPr="00A2394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/>
        </w:rPr>
        <w:t>Составлена автором на основе данных ГТУ КНР</w:t>
      </w:r>
    </w:p>
    <w:p w14:paraId="6570EA5A" w14:textId="77777777" w:rsidR="00067536" w:rsidRPr="00A23944" w:rsidRDefault="00067536">
      <w:pPr>
        <w:rPr>
          <w:rFonts w:ascii="Calibri" w:eastAsia="宋体" w:hAnsi="Calibri" w:cs="Times New Roman"/>
          <w:kern w:val="0"/>
          <w:szCs w:val="22"/>
          <w:lang w:val="ru-RU"/>
        </w:rPr>
      </w:pPr>
    </w:p>
    <w:p w14:paraId="352E0D5F" w14:textId="77777777" w:rsidR="00067536" w:rsidRPr="00A23944" w:rsidRDefault="00000000">
      <w:pPr>
        <w:ind w:firstLine="567"/>
        <w:rPr>
          <w:rFonts w:ascii="Calibri" w:eastAsia="宋体" w:hAnsi="Calibri" w:cs="Times New Roman"/>
          <w:kern w:val="0"/>
          <w:szCs w:val="22"/>
          <w:lang w:val="ru-RU"/>
        </w:rPr>
      </w:pP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Анализ подтверждает гипотезу: периоды высокой ясности угроз (2022–2024 гг.) характеризуются доминированием сотрудничества, интенсивным институциональным строительством и повышением роли ШОС. Период умеренной ясности (2014–2021 гг.) отмечен нарастанием соперничества и снижением эффективности ШОС в экономической сфере. Данные таблицы 2 демонстрируют нелинейный характер динамики: резкие скачки торговли определяются внешними шоками, а не постепенной эволюцией. Прогнозирование российско-китайского взаимодействия в регионе требует анализа стратегической среды — прежде всего уровня воспринимаемой угрозы со стороны Запада.</w:t>
      </w:r>
    </w:p>
    <w:p w14:paraId="64CFE548" w14:textId="77777777" w:rsidR="00067536" w:rsidRPr="00A23944" w:rsidRDefault="00067536">
      <w:pPr>
        <w:rPr>
          <w:rFonts w:ascii="Calibri" w:eastAsia="宋体" w:hAnsi="Calibri" w:cs="Times New Roman"/>
          <w:kern w:val="0"/>
          <w:szCs w:val="22"/>
          <w:lang w:val="ru-RU"/>
        </w:rPr>
      </w:pPr>
    </w:p>
    <w:p w14:paraId="223B3EB2" w14:textId="77777777" w:rsidR="00067536" w:rsidRDefault="00000000">
      <w:pPr>
        <w:jc w:val="center"/>
        <w:rPr>
          <w:rFonts w:ascii="Calibri" w:eastAsia="宋体" w:hAnsi="Calibri" w:cs="Times New Roman"/>
          <w:kern w:val="0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</w:rPr>
        <w:t>Источники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</w:rPr>
        <w:t>литература</w:t>
      </w:r>
      <w:proofErr w:type="spellEnd"/>
    </w:p>
    <w:p w14:paraId="32B36339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0" w:name="_Ref15018"/>
      <w:r>
        <w:rPr>
          <w:rFonts w:ascii="Times New Roman" w:eastAsia="Times New Roman" w:hAnsi="Times New Roman" w:cs="Times New Roman"/>
          <w:kern w:val="0"/>
          <w:sz w:val="24"/>
        </w:rPr>
        <w:t>Lo B. Axis of Convenience: Moscow, Beijing, and the New Geopolitics. Washington: Brookings Institution Press, 2008.</w:t>
      </w:r>
      <w:bookmarkEnd w:id="0"/>
    </w:p>
    <w:p w14:paraId="7947E62E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1" w:name="_Ref223387751"/>
      <w:r>
        <w:rPr>
          <w:rFonts w:ascii="Times New Roman" w:eastAsia="Times New Roman" w:hAnsi="Times New Roman" w:cs="Times New Roman"/>
          <w:kern w:val="0"/>
          <w:sz w:val="24"/>
        </w:rPr>
        <w:t>Stronski P., Ng N. Cooperation and Competition: Russia and China in Central Asia, the Russian Far East, and the Arctic. Carnegie Endowment, 2018.</w:t>
      </w:r>
      <w:bookmarkEnd w:id="1"/>
    </w:p>
    <w:p w14:paraId="7AFCBDC3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2" w:name="_Ref223387788"/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>Лукин</w:t>
      </w:r>
      <w:r>
        <w:rPr>
          <w:rFonts w:ascii="Times New Roman" w:eastAsia="Times New Roman" w:hAnsi="Times New Roman" w:cs="Times New Roman"/>
          <w:kern w:val="0"/>
          <w:sz w:val="24"/>
        </w:rPr>
        <w:t> </w:t>
      </w:r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 xml:space="preserve">А.В. Россия и Китай: четыре века взаимодействия. 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</w:rPr>
        <w:t>Весь</w:t>
      </w:r>
      <w:proofErr w:type="spellEnd"/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</w:rPr>
        <w:t>мир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</w:rPr>
        <w:t>, 2013.</w:t>
      </w:r>
      <w:bookmarkEnd w:id="2"/>
    </w:p>
    <w:p w14:paraId="564B0778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3" w:name="_Ref223387800"/>
      <w:r w:rsidRPr="00A23944">
        <w:rPr>
          <w:rFonts w:ascii="Times New Roman" w:eastAsia="Times New Roman" w:hAnsi="Times New Roman" w:cs="Times New Roman"/>
          <w:kern w:val="0"/>
          <w:sz w:val="24"/>
          <w:lang w:val="ru-RU"/>
        </w:rPr>
        <w:t xml:space="preserve">Чжао Хуашэн. Центральная Азия: чья «большая игра»? // Журнал Синьцзянского педагогического университета. </w:t>
      </w:r>
      <w:r>
        <w:rPr>
          <w:rFonts w:ascii="Times New Roman" w:eastAsia="Times New Roman" w:hAnsi="Times New Roman" w:cs="Times New Roman"/>
          <w:kern w:val="0"/>
          <w:sz w:val="24"/>
        </w:rPr>
        <w:t>2016. № 4. С. 90–91.</w:t>
      </w:r>
      <w:bookmarkEnd w:id="3"/>
    </w:p>
    <w:p w14:paraId="57CA6EBC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4" w:name="_Ref223387815"/>
      <w:r>
        <w:rPr>
          <w:rFonts w:ascii="Times New Roman" w:eastAsia="Times New Roman" w:hAnsi="Times New Roman" w:cs="Times New Roman"/>
          <w:kern w:val="0"/>
          <w:sz w:val="24"/>
        </w:rPr>
        <w:t>Ripsman N.M., Taliaferro J.W., Lobell S.E. Neoclassical Realist Theory of International Politics. Oxford: Oxford University Press, 2016.</w:t>
      </w:r>
      <w:bookmarkEnd w:id="4"/>
    </w:p>
    <w:p w14:paraId="0DA4CA6F" w14:textId="77777777" w:rsidR="00067536" w:rsidRDefault="00000000">
      <w:pPr>
        <w:numPr>
          <w:ilvl w:val="0"/>
          <w:numId w:val="1"/>
        </w:numPr>
        <w:rPr>
          <w:rFonts w:ascii="Calibri" w:eastAsia="宋体" w:hAnsi="Calibri" w:cs="Times New Roman"/>
          <w:kern w:val="0"/>
          <w:szCs w:val="22"/>
        </w:rPr>
      </w:pPr>
      <w:bookmarkStart w:id="5" w:name="_Ref223387832"/>
      <w:r>
        <w:rPr>
          <w:rFonts w:ascii="Times New Roman" w:eastAsia="Times New Roman" w:hAnsi="Times New Roman" w:cs="Times New Roman"/>
          <w:kern w:val="0"/>
          <w:sz w:val="24"/>
        </w:rPr>
        <w:t>Lukin A. Russian-Chinese Cooperation in Central Asia and the Idea of Greater Eurasia // India Quarterly. 2019. Vol. 75, No. 1. P. 1–14.</w:t>
      </w:r>
      <w:bookmarkEnd w:id="5"/>
    </w:p>
    <w:p w14:paraId="0AF76AE0" w14:textId="77777777" w:rsidR="00067536" w:rsidRDefault="00067536"/>
    <w:sectPr w:rsidR="00067536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B27"/>
    <w:multiLevelType w:val="singleLevel"/>
    <w:tmpl w:val="02929B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6751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352324"/>
    <w:rsid w:val="00067536"/>
    <w:rsid w:val="00116E86"/>
    <w:rsid w:val="0031417B"/>
    <w:rsid w:val="00A23944"/>
    <w:rsid w:val="553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9F825"/>
  <w15:docId w15:val="{2B1911E9-3446-4103-BCB7-3B1BF43C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700F-5714-4C45-97A6-6797B78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4831</Characters>
  <Application>Microsoft Office Word</Application>
  <DocSecurity>0</DocSecurity>
  <Lines>123</Lines>
  <Paragraphs>70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Чжоу Сюаньюй</dc:creator>
  <cp:lastModifiedBy>zhou xuanyu</cp:lastModifiedBy>
  <cp:revision>2</cp:revision>
  <dcterms:created xsi:type="dcterms:W3CDTF">2026-03-02T20:51:00Z</dcterms:created>
  <dcterms:modified xsi:type="dcterms:W3CDTF">2026-03-02T20:51:00Z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82763859BEA04B858341B23C919EA9DA_11</vt:lpwstr>
  </property>
  <property fmtid="{D5CDD505-2E9C-101B-9397-08002B2CF9AE}" pid="4" name="KSOTemplateDocerSaveRecord">
    <vt:lpwstr>eyJoZGlkIjoiNTAzNjhjYzAxMTE5OGU5ZGU1ZjBhY2Q4ZWJmYzcwMWYiLCJ1c2VySWQiOiI3NTQ5NDc0MzQifQ==</vt:lpwstr>
  </property>
  <property fmtid="{D5CDD505-2E9C-101B-9397-08002B2CF9AE}" pid="5" name="_DocHome">
    <vt:i4>884411733</vt:i4>
  </property>
</Properties>
</file>