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63AA" w14:textId="77777777" w:rsidR="00820AEF" w:rsidRPr="00DF4C0C" w:rsidRDefault="00000000">
      <w:pPr>
        <w:widowControl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УДК 341.1/8</w:t>
      </w:r>
    </w:p>
    <w:p w14:paraId="55F663AB" w14:textId="77777777" w:rsidR="00820AEF" w:rsidRPr="00DF4C0C" w:rsidRDefault="00000000">
      <w:pPr>
        <w:widowControl/>
        <w:ind w:firstLine="709"/>
        <w:jc w:val="center"/>
        <w:rPr>
          <w:rFonts w:ascii="Times New Roman Regular" w:eastAsia="1rem / 1.5rem google sans text" w:hAnsi="Times New Roman Regular" w:cs="Times New Roman Regular"/>
          <w:b/>
          <w:bCs/>
          <w:kern w:val="0"/>
          <w:sz w:val="28"/>
          <w:szCs w:val="28"/>
          <w:lang w:val="ru-RU" w:bidi="ar"/>
        </w:rPr>
      </w:pPr>
      <w:r w:rsidRPr="00DF4C0C">
        <w:rPr>
          <w:rFonts w:ascii="Times New Roman Regular" w:eastAsia="1rem / 1.5rem google sans text" w:hAnsi="Times New Roman Regular" w:cs="Times New Roman Regular"/>
          <w:b/>
          <w:bCs/>
          <w:kern w:val="0"/>
          <w:sz w:val="28"/>
          <w:szCs w:val="28"/>
          <w:lang w:val="ru-RU" w:bidi="ar"/>
        </w:rPr>
        <w:t>КОНЦЕПТУАЛЬНАЯ ЭВОЛЮЦИЯ ПРАВОВОГО СОТРУДНИЧЕСТВА СТРАН БРИКС: ОТ ПОЛИТИЧЕСКИХ ДЕКЛАРАЦИЙ К ФОРМИРОВАНИЮ НОРМАТИВНОГО ПРОСТРАНСТВА</w:t>
      </w:r>
    </w:p>
    <w:p w14:paraId="55F663AC" w14:textId="77777777" w:rsidR="00820AEF" w:rsidRPr="00DF4C0C" w:rsidRDefault="00820AEF">
      <w:pPr>
        <w:widowControl/>
        <w:ind w:firstLine="709"/>
        <w:rPr>
          <w:rFonts w:ascii="Times New Roman Regular" w:eastAsia="1rem / 1.5rem google sans text" w:hAnsi="Times New Roman Regular" w:cs="Times New Roman Regular"/>
          <w:b/>
          <w:bCs/>
          <w:kern w:val="0"/>
          <w:sz w:val="28"/>
          <w:szCs w:val="28"/>
          <w:lang w:val="ru-RU" w:bidi="ar"/>
        </w:rPr>
      </w:pPr>
    </w:p>
    <w:p w14:paraId="55F663AD" w14:textId="77777777" w:rsidR="00820AEF" w:rsidRPr="00DF4C0C" w:rsidRDefault="00000000">
      <w:pPr>
        <w:widowControl/>
        <w:ind w:firstLine="709"/>
        <w:jc w:val="right"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</w:pPr>
      <w:r w:rsidRPr="00DF4C0C">
        <w:rPr>
          <w:rFonts w:ascii="Times New Roman Regular" w:eastAsia="1rem / 1.5rem google sans text" w:hAnsi="Times New Roman Regular" w:cs="Times New Roman Regular"/>
          <w:bCs/>
          <w:kern w:val="0"/>
          <w:sz w:val="28"/>
          <w:szCs w:val="28"/>
          <w:lang w:val="ru-RU" w:bidi="ar"/>
        </w:rPr>
        <w:t>Автор: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Дэн </w:t>
      </w:r>
      <w:proofErr w:type="spellStart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Шилэй</w:t>
      </w:r>
      <w:proofErr w:type="spellEnd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, аспирант</w:t>
      </w:r>
    </w:p>
    <w:p w14:paraId="55F663AE" w14:textId="77777777" w:rsidR="00820AEF" w:rsidRDefault="00000000">
      <w:pPr>
        <w:widowControl/>
        <w:ind w:firstLine="709"/>
        <w:jc w:val="right"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</w:pPr>
      <w:r w:rsidRPr="00DF4C0C">
        <w:rPr>
          <w:rFonts w:ascii="Times New Roman Regular" w:eastAsia="1rem / 1.5rem google sans text" w:hAnsi="Times New Roman Regular" w:cs="Times New Roman Regular"/>
          <w:bCs/>
          <w:kern w:val="0"/>
          <w:sz w:val="28"/>
          <w:szCs w:val="28"/>
          <w:lang w:val="ru-RU" w:bidi="ar"/>
        </w:rPr>
        <w:t>Научный руководитель: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Агоннуде Б. В. Фредди, </w:t>
      </w:r>
      <w:proofErr w:type="spellStart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к.п.н</w:t>
      </w:r>
      <w:proofErr w:type="spellEnd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., старший преподаватель кафедры публичной политики и истории государства и права РУДН им. </w:t>
      </w:r>
      <w:proofErr w:type="spellStart"/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Патриса</w:t>
      </w:r>
      <w:proofErr w:type="spellEnd"/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Лумумбы</w:t>
      </w:r>
      <w:proofErr w:type="spellEnd"/>
    </w:p>
    <w:p w14:paraId="55F663AF" w14:textId="77777777" w:rsidR="00820AEF" w:rsidRDefault="00820AEF">
      <w:pPr>
        <w:widowControl/>
        <w:ind w:firstLine="709"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</w:pPr>
    </w:p>
    <w:p w14:paraId="55F663B0" w14:textId="77777777" w:rsidR="00820AEF" w:rsidRPr="00DF4C0C" w:rsidRDefault="00000000">
      <w:pPr>
        <w:widowControl/>
        <w:ind w:firstLine="709"/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</w:pPr>
      <w:r w:rsidRPr="00DF4C0C">
        <w:rPr>
          <w:rFonts w:ascii="Times New Roman Regular" w:eastAsia="Tim" w:hAnsi="Times New Roman Regular" w:cs="Times New Roman Regular"/>
          <w:b/>
          <w:i/>
          <w:iCs/>
          <w:kern w:val="0"/>
          <w:sz w:val="24"/>
          <w:lang w:val="ru-RU" w:bidi="ar"/>
        </w:rPr>
        <w:t>Аннотация:</w:t>
      </w:r>
      <w:r w:rsidRPr="00DF4C0C"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  <w:t xml:space="preserve"> В тезисах исследуется институциональная и концептуальная эволюция объединения БРИКС в контексте трансформации глобального правопорядка. Отмечается, что на фоне кризиса легитимности западных институтов и усиления тенденций «</w:t>
      </w:r>
      <w:proofErr w:type="spellStart"/>
      <w:r w:rsidRPr="00DF4C0C"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  <w:t>вепонизации</w:t>
      </w:r>
      <w:proofErr w:type="spellEnd"/>
      <w:r w:rsidRPr="00DF4C0C"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  <w:t>» (</w:t>
      </w:r>
      <w:r>
        <w:rPr>
          <w:rFonts w:ascii="Times New Roman Regular" w:eastAsia="Tim" w:hAnsi="Times New Roman Regular" w:cs="Times New Roman Regular"/>
          <w:i/>
          <w:iCs/>
          <w:kern w:val="0"/>
          <w:sz w:val="24"/>
          <w:lang w:bidi="ar"/>
        </w:rPr>
        <w:t>weaponization</w:t>
      </w:r>
      <w:r w:rsidRPr="00DF4C0C"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  <w:t>) права, государства БРИКС переходят от использования механизмов «мягкого права» к активному конструированию собственного нормативного пространства.</w:t>
      </w:r>
    </w:p>
    <w:p w14:paraId="55F663B1" w14:textId="77777777" w:rsidR="00820AEF" w:rsidRPr="00DF4C0C" w:rsidRDefault="00000000">
      <w:pPr>
        <w:widowControl/>
        <w:ind w:firstLine="709"/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</w:pPr>
      <w:r w:rsidRPr="00DF4C0C">
        <w:rPr>
          <w:rFonts w:ascii="Times New Roman Regular" w:eastAsia="Tim" w:hAnsi="Times New Roman Regular" w:cs="Times New Roman Regular"/>
          <w:b/>
          <w:i/>
          <w:iCs/>
          <w:kern w:val="0"/>
          <w:sz w:val="24"/>
          <w:lang w:val="ru-RU" w:bidi="ar"/>
        </w:rPr>
        <w:t>Ключевые слова:</w:t>
      </w:r>
      <w:r w:rsidRPr="00DF4C0C">
        <w:rPr>
          <w:rFonts w:ascii="Times New Roman Regular" w:eastAsia="Tim" w:hAnsi="Times New Roman Regular" w:cs="Times New Roman Regular"/>
          <w:i/>
          <w:iCs/>
          <w:kern w:val="0"/>
          <w:sz w:val="24"/>
          <w:lang w:val="ru-RU" w:bidi="ar"/>
        </w:rPr>
        <w:t xml:space="preserve"> БРИКС+, международное право, разрешение споров, институциональное балансирование, внутренний правовой суверенитет, санкционное право.</w:t>
      </w:r>
    </w:p>
    <w:p w14:paraId="55F663B2" w14:textId="77777777" w:rsidR="00820AEF" w:rsidRPr="00DF4C0C" w:rsidRDefault="00820AEF">
      <w:pPr>
        <w:widowControl/>
        <w:ind w:firstLine="709"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</w:pPr>
    </w:p>
    <w:p w14:paraId="55F663B3" w14:textId="77777777" w:rsidR="00820AEF" w:rsidRPr="00DF4C0C" w:rsidRDefault="00000000">
      <w:pPr>
        <w:widowControl/>
        <w:ind w:firstLine="709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Начало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XXI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века ознаменовалось кардинальными сдвигами в архитектуре глобального управления, ключевым из которых стало возвышение стран с формирующимися рынками. На раннем этапе правовое сотрудничество БРИКС строилось исключительно на базе политических деклараций и механизмов «мягкого права»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soft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law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). Однако по мере углубления экономической интеграции ограниченность декларативного подхода стала очевидной. Целью настоящего исследования является анализ концептуального перехода БРИКС от 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lastRenderedPageBreak/>
        <w:t>неформального диалогового клуба к самостоятельному актору, конструирующему собственное нормативное пространство.</w:t>
      </w:r>
    </w:p>
    <w:p w14:paraId="55F663B4" w14:textId="77777777" w:rsidR="00820AEF" w:rsidRPr="00DF4C0C" w:rsidRDefault="00000000">
      <w:pPr>
        <w:widowControl/>
        <w:ind w:firstLine="709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Катализатором перехода БРИКС к формированию автономной правовой инфраструктуры стал глубокий кризис легитимности западных институтов. М. Сорнараджа ввел концепцию «сопротивления»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resistance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) развивающихся государств, доказывая, что классическая система защиты иностранных инвестиций стала инструментом, ограничивающим «регуляторное пространство» принимающих государств [4, с. 54]. Ситуация приобрела критический характер в условиях современного геополитического противостояния, когда западное право стало открыто использоваться как оружие. С.В. Бахин отмечает, что в настоящее время формируется агрессивное «санкционное право» — система экстерриториальных ограничений, разрушающих ткань международного частного права [1, с. 145]. В ответ на это обостряется потребность в защите «внутреннего правового суверенитета» как фундаментального фактора развития государства [2, с. 32].</w:t>
      </w:r>
    </w:p>
    <w:p w14:paraId="55F663B5" w14:textId="77777777" w:rsidR="00820AEF" w:rsidRPr="00DF4C0C" w:rsidRDefault="00000000">
      <w:pPr>
        <w:widowControl/>
        <w:ind w:firstLine="709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Опираясь на теорию социального конструктивизма и концепцию «институционального балансирования» [3,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p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. 14], можно констатировать качественную смену идентичности стран-участниц: от пассивных «потребителей правил»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rule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-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takers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) они стремятся стать «создателями правил»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rule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-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makers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).</w:t>
      </w:r>
    </w:p>
    <w:p w14:paraId="55F663B6" w14:textId="34395D7A" w:rsidR="00820AEF" w:rsidRPr="00DF4C0C" w:rsidRDefault="00000000">
      <w:pPr>
        <w:widowControl/>
        <w:ind w:firstLine="709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Практическим проявлением этой стратегии является конструирование альтернативной архитектуры разрешения споров</w:t>
      </w:r>
      <w:r w:rsidR="00DF4C0C"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: во-первых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, Китай реализует модель институционального строительства через создание Китайского 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lastRenderedPageBreak/>
        <w:t>международного коммерческого суда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CICC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). Это не просто дублирование западных судов, а акт внедрения альтернативной правовой культуры («одно окно», интегрирующее суд, арбитраж и медиацию). Во-вторых, Бразилия и Индия выступают ревизионистами, радикально реформируя механизмы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ISDS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. Индия внедрила жесткое требование исчерпания внутренних средств защиты, а Бразилия разработала модель Соглашений о сотрудничестве и содействии инвестициям (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CFIA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), полностью исключающую прямой арбитраж в пользу механизмов предотвращения споров (Омбудсмен) и межгосударственных консультаций. В-третьих, Россия формирует механизмы исключительной юрисдикции (ст. 248.1 АПК РФ) для защиты национальных субъектов от политически мотивированного иностранного правосудия.</w:t>
      </w:r>
    </w:p>
    <w:p w14:paraId="55F663B7" w14:textId="77777777" w:rsidR="00820AEF" w:rsidRPr="00DF4C0C" w:rsidRDefault="00000000">
      <w:pPr>
        <w:widowControl/>
        <w:ind w:firstLine="709"/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</w:pP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В заключение следует отметить, что осознание неразрывной связи подлинного экономического суверенитета в эпоху «</w:t>
      </w:r>
      <w:proofErr w:type="spellStart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вепонизации</w:t>
      </w:r>
      <w:proofErr w:type="spellEnd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» финансов с суверенитетом юридическим заставляет государства активно конструировать новую институциональную реальность. Переход от разрозненных политических заявлений к созданию структурированного нормативного пространства (через модели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CICC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, </w:t>
      </w:r>
      <w:r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bidi="ar"/>
        </w:rPr>
        <w:t>CFIA</w:t>
      </w:r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и проекты Совместных арбитражных учреждений) становится важнейшим элементом </w:t>
      </w:r>
      <w:proofErr w:type="spellStart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>макрополитической</w:t>
      </w:r>
      <w:proofErr w:type="spellEnd"/>
      <w:r w:rsidRPr="00DF4C0C">
        <w:rPr>
          <w:rFonts w:ascii="Times New Roman Regular" w:eastAsia="1rem / 1.5rem google sans text" w:hAnsi="Times New Roman Regular" w:cs="Times New Roman Regular"/>
          <w:kern w:val="0"/>
          <w:sz w:val="28"/>
          <w:szCs w:val="28"/>
          <w:lang w:val="ru-RU" w:bidi="ar"/>
        </w:rPr>
        <w:t xml:space="preserve"> стратегии стран БРИКС по формированию более справедливого, устойчивого и полицентричного глобального правопорядка.</w:t>
      </w:r>
    </w:p>
    <w:p w14:paraId="55F663B8" w14:textId="77777777" w:rsidR="00820AEF" w:rsidRDefault="00000000" w:rsidP="00377BD8">
      <w:pPr>
        <w:widowControl/>
        <w:jc w:val="center"/>
        <w:rPr>
          <w:rFonts w:ascii="Times New Roman Regular" w:eastAsia="1rem / 1.5rem google sans text" w:hAnsi="Times New Roman Regular" w:cs="Times New Roman Regular"/>
          <w:b/>
          <w:sz w:val="28"/>
          <w:szCs w:val="28"/>
        </w:rPr>
      </w:pPr>
      <w:proofErr w:type="spellStart"/>
      <w:r>
        <w:rPr>
          <w:rFonts w:ascii="Times New Roman Regular" w:eastAsia="1rem / 1.5rem google sans text" w:hAnsi="Times New Roman Regular" w:cs="Times New Roman Regular"/>
          <w:b/>
          <w:kern w:val="0"/>
          <w:sz w:val="28"/>
          <w:szCs w:val="28"/>
          <w:lang w:bidi="ar"/>
        </w:rPr>
        <w:t>Список</w:t>
      </w:r>
      <w:proofErr w:type="spellEnd"/>
      <w:r>
        <w:rPr>
          <w:rFonts w:ascii="Times New Roman Regular" w:eastAsia="1rem / 1.5rem google sans text" w:hAnsi="Times New Roman Regular" w:cs="Times New Roman Regular"/>
          <w:b/>
          <w:kern w:val="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 Regular" w:eastAsia="1rem / 1.5rem google sans text" w:hAnsi="Times New Roman Regular" w:cs="Times New Roman Regular"/>
          <w:b/>
          <w:kern w:val="0"/>
          <w:sz w:val="28"/>
          <w:szCs w:val="28"/>
          <w:lang w:bidi="ar"/>
        </w:rPr>
        <w:t>литературы</w:t>
      </w:r>
      <w:proofErr w:type="spellEnd"/>
      <w:r>
        <w:rPr>
          <w:rFonts w:ascii="Times New Roman Regular" w:eastAsia="1rem / 1.5rem google sans text" w:hAnsi="Times New Roman Regular" w:cs="Times New Roman Regular"/>
          <w:b/>
          <w:kern w:val="0"/>
          <w:sz w:val="28"/>
          <w:szCs w:val="28"/>
          <w:lang w:bidi="ar"/>
        </w:rPr>
        <w:t>:</w:t>
      </w:r>
    </w:p>
    <w:p w14:paraId="55F663B9" w14:textId="77777777" w:rsidR="00820AEF" w:rsidRPr="00DF4C0C" w:rsidRDefault="00000000">
      <w:pPr>
        <w:widowControl/>
        <w:numPr>
          <w:ilvl w:val="0"/>
          <w:numId w:val="1"/>
        </w:numPr>
        <w:ind w:left="0" w:firstLine="0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r w:rsidRPr="00DF4C0C"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  <w:lang w:val="ru-RU"/>
        </w:rPr>
        <w:t>Бахин С. В. «Санкционное право»: постановка проблемы // Правоприменение. — 2024. — Т. 8, № 4. — С. 143–152.</w:t>
      </w:r>
    </w:p>
    <w:p w14:paraId="55F663BA" w14:textId="77777777" w:rsidR="00820AEF" w:rsidRPr="00DF4C0C" w:rsidRDefault="00000000">
      <w:pPr>
        <w:widowControl/>
        <w:numPr>
          <w:ilvl w:val="0"/>
          <w:numId w:val="1"/>
        </w:numPr>
        <w:ind w:left="0" w:firstLine="0"/>
        <w:rPr>
          <w:rFonts w:ascii="Times New Roman Regular" w:eastAsia="1rem / 1.5rem google sans text" w:hAnsi="Times New Roman Regular" w:cs="Times New Roman Regular"/>
          <w:sz w:val="28"/>
          <w:szCs w:val="28"/>
          <w:lang w:val="ru-RU"/>
        </w:rPr>
      </w:pPr>
      <w:proofErr w:type="spellStart"/>
      <w:r w:rsidRPr="00DF4C0C"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  <w:lang w:val="ru-RU"/>
        </w:rPr>
        <w:lastRenderedPageBreak/>
        <w:t>Подосинникова</w:t>
      </w:r>
      <w:proofErr w:type="spellEnd"/>
      <w:r w:rsidRPr="00DF4C0C"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  <w:lang w:val="ru-RU"/>
        </w:rPr>
        <w:t xml:space="preserve"> Л. А. Роль внутреннего правового суверенитета в развитии государства // Закон и право. — 2025. — № 6. — С. 30–40.</w:t>
      </w:r>
    </w:p>
    <w:p w14:paraId="55F663BB" w14:textId="77777777" w:rsidR="00820AEF" w:rsidRDefault="00000000">
      <w:pPr>
        <w:widowControl/>
        <w:numPr>
          <w:ilvl w:val="0"/>
          <w:numId w:val="1"/>
        </w:numPr>
        <w:ind w:left="0" w:firstLine="0"/>
        <w:rPr>
          <w:rFonts w:ascii="Times New Roman Regular" w:eastAsia="1rem / 1.5rem google sans text" w:hAnsi="Times New Roman Regular" w:cs="Times New Roman Regular"/>
          <w:sz w:val="28"/>
          <w:szCs w:val="28"/>
        </w:rPr>
      </w:pPr>
      <w:r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</w:rPr>
        <w:t>Petry J., Nölke A. BRICS and the Global Financial Order: Liberalism Contested? — Cambridge: Cambridge University Press, 2024. — 110 p.</w:t>
      </w:r>
    </w:p>
    <w:p w14:paraId="55F663BC" w14:textId="77777777" w:rsidR="00820AEF" w:rsidRDefault="00000000">
      <w:pPr>
        <w:widowControl/>
        <w:numPr>
          <w:ilvl w:val="0"/>
          <w:numId w:val="1"/>
        </w:numPr>
        <w:ind w:left="0" w:firstLine="0"/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</w:rPr>
      </w:pPr>
      <w:proofErr w:type="spellStart"/>
      <w:r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</w:rPr>
        <w:t>Sornarajah</w:t>
      </w:r>
      <w:proofErr w:type="spellEnd"/>
      <w:r>
        <w:rPr>
          <w:rFonts w:ascii="Times New Roman Regular" w:eastAsia="1rem / 1.5rem google sans text" w:hAnsi="Times New Roman Regular" w:cs="Times New Roman Regular"/>
          <w:color w:val="303030"/>
          <w:sz w:val="28"/>
          <w:szCs w:val="28"/>
          <w:shd w:val="clear" w:color="auto" w:fill="FFFFFF"/>
        </w:rPr>
        <w:t xml:space="preserve"> M. Resistance and Change in the International Law on Foreign Investment. — Cambridge: Cambridge University Press, 2015. — 440 p.</w:t>
      </w:r>
    </w:p>
    <w:sectPr w:rsidR="00820A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1rem / 1.5rem google sans text">
    <w:altName w:val="苹方-简"/>
    <w:charset w:val="00"/>
    <w:family w:val="auto"/>
    <w:pitch w:val="default"/>
  </w:font>
  <w:font w:name="Tim">
    <w:altName w:val="苹方-简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B05F4"/>
    <w:multiLevelType w:val="multilevel"/>
    <w:tmpl w:val="6F8B05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4633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F95452"/>
    <w:rsid w:val="00377BD8"/>
    <w:rsid w:val="0069539C"/>
    <w:rsid w:val="00820AEF"/>
    <w:rsid w:val="00DF4C0C"/>
    <w:rsid w:val="3B3C8F9F"/>
    <w:rsid w:val="6FFFB916"/>
    <w:rsid w:val="76EF980C"/>
    <w:rsid w:val="EFBFEDAB"/>
    <w:rsid w:val="FB748D7A"/>
    <w:rsid w:val="FBF95452"/>
    <w:rsid w:val="FF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663AA"/>
  <w15:docId w15:val="{DEA60B82-9AA3-4A72-9BB6-63C237D8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姜羽彤</dc:creator>
  <cp:lastModifiedBy>Freddy AGONNOUDE</cp:lastModifiedBy>
  <cp:revision>3</cp:revision>
  <dcterms:created xsi:type="dcterms:W3CDTF">2026-02-28T17:04:00Z</dcterms:created>
  <dcterms:modified xsi:type="dcterms:W3CDTF">2026-03-01T14:31:00Z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C3AA9414DB822FAE0BF6A269A4EDCF39_41</vt:lpwstr>
  </property>
</Properties>
</file>