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2D40BD">
      <w:pPr>
        <w:spacing w:line="240" w:lineRule="auto"/>
        <w:jc w:val="center"/>
        <w:rPr>
          <w:rFonts w:hint="default" w:asciiTheme="majorBidi" w:hAnsiTheme="majorBidi" w:cstheme="majorBidi"/>
          <w:b/>
          <w:bCs/>
          <w:sz w:val="24"/>
          <w:szCs w:val="24"/>
          <w:lang w:val="ru-RU"/>
        </w:rPr>
      </w:pPr>
      <w:r>
        <w:rPr>
          <w:rFonts w:asciiTheme="majorBidi" w:hAnsiTheme="majorBidi" w:cstheme="majorBidi"/>
          <w:b/>
          <w:bCs/>
          <w:sz w:val="24"/>
          <w:szCs w:val="24"/>
          <w:lang w:val="ru-RU"/>
        </w:rPr>
        <w:t>Малийский</w:t>
      </w:r>
      <w:r>
        <w:rPr>
          <w:rFonts w:hint="default" w:asciiTheme="majorBidi" w:hAnsiTheme="majorBidi" w:cstheme="majorBidi"/>
          <w:b/>
          <w:bCs/>
          <w:sz w:val="24"/>
          <w:szCs w:val="24"/>
          <w:lang w:val="ru-RU"/>
        </w:rPr>
        <w:t xml:space="preserve"> конфликт как катализатор региональной трансформации Сахеля: джихадизация, регионализация, ресуверенизация</w:t>
      </w:r>
    </w:p>
    <w:p w14:paraId="62D9E7BF">
      <w:pPr>
        <w:spacing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Венедиктов Егор Александрович</w:t>
      </w:r>
    </w:p>
    <w:p w14:paraId="75379849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студент бакалавриата</w:t>
      </w:r>
    </w:p>
    <w:p w14:paraId="51A701AC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Северо-Западный институт управления Российской Академии Народного Хозяйства и Государственной Службы,</w:t>
      </w:r>
    </w:p>
    <w:p w14:paraId="1AF16510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>факультет международных отношений, Санкт-Петербург, Россия</w:t>
      </w:r>
    </w:p>
    <w:p w14:paraId="10E5EC28">
      <w:pPr>
        <w:spacing w:line="240" w:lineRule="auto"/>
        <w:jc w:val="center"/>
        <w:rPr>
          <w:rFonts w:asciiTheme="majorBidi" w:hAnsiTheme="majorBidi" w:cstheme="majorBidi"/>
          <w:i/>
          <w:iCs/>
          <w:sz w:val="24"/>
          <w:szCs w:val="24"/>
        </w:rPr>
      </w:pPr>
      <w:r>
        <w:rPr>
          <w:rFonts w:asciiTheme="majorBidi" w:hAnsiTheme="majorBidi" w:cstheme="majorBidi"/>
          <w:i/>
          <w:iCs/>
          <w:sz w:val="24"/>
          <w:szCs w:val="24"/>
          <w:lang w:val="en-US"/>
        </w:rPr>
        <w:t>Email</w:t>
      </w:r>
      <w:r>
        <w:rPr>
          <w:rFonts w:asciiTheme="majorBidi" w:hAnsiTheme="majorBidi" w:cstheme="majorBidi"/>
          <w:i/>
          <w:iCs/>
          <w:sz w:val="24"/>
          <w:szCs w:val="24"/>
        </w:rPr>
        <w:t xml:space="preserve">: </w:t>
      </w:r>
      <w:r>
        <w:fldChar w:fldCharType="begin"/>
      </w:r>
      <w:r>
        <w:instrText xml:space="preserve"> HYPERLINK "mailto:evenediktov-22@edu.ranepa.ru" </w:instrText>
      </w:r>
      <w:r>
        <w:fldChar w:fldCharType="separate"/>
      </w:r>
      <w:r>
        <w:rPr>
          <w:rStyle w:val="15"/>
          <w:rFonts w:asciiTheme="majorBidi" w:hAnsiTheme="majorBidi" w:cstheme="majorBidi"/>
          <w:i/>
          <w:iCs/>
          <w:sz w:val="24"/>
          <w:szCs w:val="24"/>
          <w:lang w:val="en-US"/>
        </w:rPr>
        <w:t>evenediktov</w:t>
      </w:r>
      <w:r>
        <w:rPr>
          <w:rStyle w:val="15"/>
          <w:rFonts w:asciiTheme="majorBidi" w:hAnsiTheme="majorBidi" w:cstheme="majorBidi"/>
          <w:i/>
          <w:iCs/>
          <w:sz w:val="24"/>
          <w:szCs w:val="24"/>
        </w:rPr>
        <w:t>-22@</w:t>
      </w:r>
      <w:r>
        <w:rPr>
          <w:rStyle w:val="15"/>
          <w:rFonts w:asciiTheme="majorBidi" w:hAnsiTheme="majorBidi" w:cstheme="majorBidi"/>
          <w:i/>
          <w:iCs/>
          <w:sz w:val="24"/>
          <w:szCs w:val="24"/>
          <w:lang w:val="en-US"/>
        </w:rPr>
        <w:t>edu</w:t>
      </w:r>
      <w:r>
        <w:rPr>
          <w:rStyle w:val="15"/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Style w:val="15"/>
          <w:rFonts w:asciiTheme="majorBidi" w:hAnsiTheme="majorBidi" w:cstheme="majorBidi"/>
          <w:i/>
          <w:iCs/>
          <w:sz w:val="24"/>
          <w:szCs w:val="24"/>
          <w:lang w:val="en-US"/>
        </w:rPr>
        <w:t>ranepa</w:t>
      </w:r>
      <w:r>
        <w:rPr>
          <w:rStyle w:val="15"/>
          <w:rFonts w:asciiTheme="majorBidi" w:hAnsiTheme="majorBidi" w:cstheme="majorBidi"/>
          <w:i/>
          <w:iCs/>
          <w:sz w:val="24"/>
          <w:szCs w:val="24"/>
        </w:rPr>
        <w:t>.</w:t>
      </w:r>
      <w:r>
        <w:rPr>
          <w:rStyle w:val="15"/>
          <w:rFonts w:asciiTheme="majorBidi" w:hAnsiTheme="majorBidi" w:cstheme="majorBidi"/>
          <w:i/>
          <w:iCs/>
          <w:sz w:val="24"/>
          <w:szCs w:val="24"/>
          <w:lang w:val="en-US"/>
        </w:rPr>
        <w:t>ru</w:t>
      </w:r>
      <w:r>
        <w:rPr>
          <w:rStyle w:val="15"/>
          <w:rFonts w:asciiTheme="majorBidi" w:hAnsiTheme="majorBidi" w:cstheme="majorBidi"/>
          <w:i/>
          <w:iCs/>
          <w:sz w:val="24"/>
          <w:szCs w:val="24"/>
          <w:lang w:val="en-US"/>
        </w:rPr>
        <w:fldChar w:fldCharType="end"/>
      </w:r>
    </w:p>
    <w:p w14:paraId="68D28FA7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Кризис в Мали, начавшийся в 2012 г. с восстания туарегских </w:t>
      </w:r>
      <w:r>
        <w:rPr>
          <w:rFonts w:hint="default" w:ascii="Times New Roman" w:hAnsi="Times New Roman" w:cs="Times New Roman"/>
          <w:sz w:val="24"/>
          <w:szCs w:val="24"/>
          <w:lang w:val="ru-RU" w:bidi="ar-SY"/>
        </w:rPr>
        <w:t>повстанческих</w:t>
      </w:r>
      <w:r>
        <w:rPr>
          <w:rFonts w:hint="default" w:ascii="Times New Roman" w:hAnsi="Times New Roman" w:cs="Times New Roman"/>
          <w:sz w:val="24"/>
          <w:szCs w:val="24"/>
        </w:rPr>
        <w:t xml:space="preserve"> формирований на севере страны, быстро вышел за рамки внутреннего конфликта и превратился в один из ключевых факторов трансформации политической динамики всего сахаро-сахельского пространства. В этой связи возникает научная проблема: 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  <w:t>каким образом локальный этнополитический конфликт трансформировался в региональный кризис, оказавший влияние на политическую архитектуру Сахеля и соседних регионов</w:t>
      </w:r>
      <w:r>
        <w:rPr>
          <w:rFonts w:hint="default" w:ascii="Times New Roman" w:hAnsi="Times New Roman" w:cs="Times New Roman"/>
          <w:b w:val="0"/>
          <w:bCs w:val="0"/>
          <w:sz w:val="24"/>
          <w:szCs w:val="24"/>
        </w:rPr>
        <w:t>.</w:t>
      </w:r>
    </w:p>
    <w:p w14:paraId="00F15FCA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В современной историографии малийского кризиса значительное внимание уделяется роли джихадистских организаций и транснациональных криминальных сетей. Работы А. Тёрстона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[1]</w:t>
      </w:r>
      <w:r>
        <w:rPr>
          <w:rFonts w:hint="default" w:ascii="Times New Roman" w:hAnsi="Times New Roman" w:cs="Times New Roman"/>
          <w:sz w:val="24"/>
          <w:szCs w:val="24"/>
        </w:rPr>
        <w:t>, С. Бёке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[2]</w:t>
      </w:r>
      <w:r>
        <w:rPr>
          <w:rFonts w:hint="default" w:ascii="Times New Roman" w:hAnsi="Times New Roman" w:cs="Times New Roman"/>
          <w:sz w:val="24"/>
          <w:szCs w:val="24"/>
        </w:rPr>
        <w:t xml:space="preserve">, а также аналитические доклады 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International Crisis Group [3]</w:t>
      </w:r>
      <w:r>
        <w:rPr>
          <w:rFonts w:hint="default" w:ascii="Times New Roman" w:hAnsi="Times New Roman" w:cs="Times New Roman"/>
          <w:sz w:val="24"/>
          <w:szCs w:val="24"/>
        </w:rPr>
        <w:t xml:space="preserve"> и Управления ООН по наркотикам и преступности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[4]</w:t>
      </w:r>
      <w:r>
        <w:rPr>
          <w:rFonts w:hint="default" w:ascii="Times New Roman" w:hAnsi="Times New Roman" w:cs="Times New Roman"/>
          <w:sz w:val="24"/>
          <w:szCs w:val="24"/>
        </w:rPr>
        <w:t xml:space="preserve"> рассматривают конфликт прежде всего через призму деятельности террористических организаций и распространения нестабильности на территории соседних государств. В то же время в ряде исследований отмечается, что малийский кризис следует анализировать в более широком контексте трансформации регионального политического пространства Сахеля.</w:t>
      </w:r>
    </w:p>
    <w:p w14:paraId="4C4FCE88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Цель настоящего исследования заключается в анализе малийского конфликта как процесса последовательной региональной трансформации. Методологическую основу работы составляют положения теории комплексов региональной безопасности Б. Бузана и О. Вэвера, а также концепция диффузии конфликтов, разработанная И. Салехьяном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 xml:space="preserve"> [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]</w:t>
      </w:r>
      <w:r>
        <w:rPr>
          <w:rFonts w:hint="default" w:ascii="Times New Roman" w:hAnsi="Times New Roman" w:cs="Times New Roman"/>
          <w:sz w:val="24"/>
          <w:szCs w:val="24"/>
        </w:rPr>
        <w:t>. Источниковую базу исследования составляют аналитические доклады международных организаций, статистические материалы Управления ООН по наркотикам и преступности, а также научные публикации, посвящённые развитию кризиса в Сахеле.</w:t>
      </w:r>
    </w:p>
    <w:p w14:paraId="34B7E636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  <w:t>Научная новизна исследования</w:t>
      </w:r>
      <w:r>
        <w:rPr>
          <w:rFonts w:hint="default" w:ascii="Times New Roman" w:hAnsi="Times New Roman" w:cs="Times New Roman"/>
          <w:sz w:val="24"/>
          <w:szCs w:val="24"/>
        </w:rPr>
        <w:t xml:space="preserve"> заключается в интерпретации малийского кризиса как последовательного процесса трансформации</w:t>
      </w:r>
      <w:bookmarkStart w:id="0" w:name="_GoBack"/>
      <w:bookmarkEnd w:id="0"/>
      <w:r>
        <w:rPr>
          <w:rFonts w:hint="default" w:ascii="Times New Roman" w:hAnsi="Times New Roman" w:cs="Times New Roman"/>
          <w:sz w:val="24"/>
          <w:szCs w:val="24"/>
        </w:rPr>
        <w:t xml:space="preserve"> региональной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архитектуры </w:t>
      </w:r>
      <w:r>
        <w:rPr>
          <w:rFonts w:hint="default" w:ascii="Times New Roman" w:hAnsi="Times New Roman" w:cs="Times New Roman"/>
          <w:sz w:val="24"/>
          <w:szCs w:val="24"/>
        </w:rPr>
        <w:t>безопасности, включающего три взаимосвязанных этапа: джихадизацию, регионализацию и последующую ресуверенизацию политического пространства Сахеля. Такой подход позволяет рассматривать конфликт не только как внутренний кризис отдельного государства, но и как структурный фактор изменения всей региональной системы безопасности.</w:t>
      </w:r>
    </w:p>
    <w:p w14:paraId="5A60FC01">
      <w:pPr>
        <w:spacing w:before="40" w:after="40" w:line="240" w:lineRule="auto"/>
        <w:ind w:firstLine="397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Проведённый анализ показывает, что на первом этапе эскалации конфликта произошла </w:t>
      </w:r>
      <w:r>
        <w:rPr>
          <w:rStyle w:val="1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джихадизация вооружённого противостояния</w:t>
      </w:r>
      <w:r>
        <w:rPr>
          <w:rFonts w:hint="default" w:ascii="Times New Roman" w:hAnsi="Times New Roman" w:eastAsia="SimSun" w:cs="Times New Roman"/>
          <w:sz w:val="24"/>
          <w:szCs w:val="24"/>
        </w:rPr>
        <w:t>, связанная не только с вовлечением в конфликт террористических организаций, включая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-SY"/>
        </w:rPr>
        <w:t>АКИМ</w:t>
      </w:r>
      <w:r>
        <w:rPr>
          <w:rStyle w:val="13"/>
          <w:rFonts w:hint="default" w:ascii="Times New Roman" w:hAnsi="Times New Roman" w:eastAsia="SimSun" w:cs="Times New Roman"/>
          <w:sz w:val="24"/>
          <w:szCs w:val="24"/>
          <w:lang w:val="ru-RU" w:bidi="ar-SY"/>
        </w:rPr>
        <w:footnoteReference w:id="0"/>
      </w:r>
      <w:r>
        <w:rPr>
          <w:rFonts w:hint="default" w:ascii="Times New Roman" w:hAnsi="Times New Roman" w:eastAsia="SimSun" w:cs="Times New Roman"/>
          <w:sz w:val="24"/>
          <w:szCs w:val="24"/>
          <w:lang w:val="ru-RU" w:bidi="ar-SY"/>
        </w:rPr>
        <w:t>, ДЕДЗА</w:t>
      </w:r>
      <w:r>
        <w:rPr>
          <w:rStyle w:val="13"/>
          <w:rFonts w:hint="default" w:ascii="Times New Roman" w:hAnsi="Times New Roman" w:eastAsia="SimSun" w:cs="Times New Roman"/>
          <w:sz w:val="24"/>
          <w:szCs w:val="24"/>
          <w:lang w:val="ru-RU" w:bidi="ar-SY"/>
        </w:rPr>
        <w:footnoteReference w:id="1"/>
      </w:r>
      <w:r>
        <w:rPr>
          <w:rFonts w:hint="default" w:ascii="Times New Roman" w:hAnsi="Times New Roman" w:eastAsia="SimSun" w:cs="Times New Roman"/>
          <w:sz w:val="24"/>
          <w:szCs w:val="24"/>
          <w:lang w:val="ru-RU" w:bidi="ar-SY"/>
        </w:rPr>
        <w:t xml:space="preserve"> и «Ансар-ад-Дин»</w:t>
      </w:r>
      <w:r>
        <w:rPr>
          <w:rStyle w:val="13"/>
          <w:rFonts w:hint="default" w:ascii="Times New Roman" w:hAnsi="Times New Roman" w:eastAsia="SimSun" w:cs="Times New Roman"/>
          <w:sz w:val="24"/>
          <w:szCs w:val="24"/>
          <w:lang w:val="ru-RU" w:bidi="ar-SY"/>
        </w:rPr>
        <w:footnoteReference w:id="2"/>
      </w:r>
      <w:r>
        <w:rPr>
          <w:rFonts w:hint="default" w:ascii="Times New Roman" w:hAnsi="Times New Roman" w:eastAsia="SimSun" w:cs="Times New Roman"/>
          <w:sz w:val="24"/>
          <w:szCs w:val="24"/>
        </w:rPr>
        <w:t>, но и с их постепенным проникновением в социальную ткань региона. Джихадистские группы активно использовали существующие этноплеменные и экономические связи, формировали локальные сети поддержки, заключали браки с представителями местных сообществ и интегрировались в систему социальной и экономической жизни северного Мали. В результате джихадистское присутствие приобрело не только военный, но и социально-политический характер, что существенно повысило устойчивость этих структур в регионе.</w:t>
      </w:r>
    </w:p>
    <w:p w14:paraId="7A872DFD">
      <w:pPr>
        <w:spacing w:before="40" w:after="40" w:line="240" w:lineRule="auto"/>
        <w:ind w:firstLine="397"/>
        <w:jc w:val="both"/>
        <w:rPr>
          <w:rFonts w:hint="default" w:ascii="Times New Roman" w:hAnsi="Times New Roman" w:eastAsia="SimSun" w:cs="Times New Roman"/>
          <w:sz w:val="24"/>
          <w:szCs w:val="24"/>
        </w:rPr>
      </w:pPr>
      <w:r>
        <w:rPr>
          <w:rFonts w:hint="default" w:ascii="Times New Roman" w:hAnsi="Times New Roman" w:eastAsia="SimSun" w:cs="Times New Roman"/>
          <w:sz w:val="24"/>
          <w:szCs w:val="24"/>
        </w:rPr>
        <w:t xml:space="preserve">На втором этапе конфликт приобрёл выраженное региональное измерение. 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Внешнее вмешательство, р</w:t>
      </w:r>
      <w:r>
        <w:rPr>
          <w:rFonts w:hint="default" w:ascii="Times New Roman" w:hAnsi="Times New Roman" w:eastAsia="SimSun" w:cs="Times New Roman"/>
          <w:sz w:val="24"/>
          <w:szCs w:val="24"/>
        </w:rPr>
        <w:t>аспространение вооружённого насилия на территорию Нигера и Буркина-Фасо,</w:t>
      </w:r>
      <w:r>
        <w:rPr>
          <w:rFonts w:hint="default" w:ascii="Times New Roman" w:hAnsi="Times New Roman" w:eastAsia="SimSun" w:cs="Times New Roman"/>
          <w:sz w:val="24"/>
          <w:szCs w:val="24"/>
          <w:lang w:val="en-US"/>
        </w:rPr>
        <w:t xml:space="preserve"> </w:t>
      </w:r>
      <w:r>
        <w:rPr>
          <w:rFonts w:hint="default" w:ascii="Times New Roman" w:hAnsi="Times New Roman" w:eastAsia="SimSun" w:cs="Times New Roman"/>
          <w:sz w:val="24"/>
          <w:szCs w:val="24"/>
          <w:lang w:val="ru-RU" w:bidi="ar-SY"/>
        </w:rPr>
        <w:t>консолидация джихадистских организаций в 2017 г.,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а также формирование транс</w:t>
      </w:r>
      <w:r>
        <w:rPr>
          <w:rFonts w:hint="default" w:ascii="Times New Roman" w:hAnsi="Times New Roman" w:eastAsia="SimSun" w:cs="Times New Roman"/>
          <w:sz w:val="24"/>
          <w:szCs w:val="24"/>
          <w:lang w:val="ru-RU"/>
        </w:rPr>
        <w:t>граничных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криминальных сетей, связанных с наркотрафиком, нелегальной добычей золота и миграционными потоками, способствовали превращению Сахеля в единое пространство нестабильности.</w:t>
      </w:r>
    </w:p>
    <w:p w14:paraId="305C1433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Наконец, в последние годы кризис сопровождается процессом 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</w:rPr>
        <w:t>ресуверенизации государств региона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ru-RU"/>
        </w:rPr>
        <w:t xml:space="preserve"> </w:t>
      </w:r>
      <w:r>
        <w:rPr>
          <w:rStyle w:val="16"/>
          <w:rFonts w:hint="default" w:ascii="Times New Roman" w:hAnsi="Times New Roman" w:cs="Times New Roman"/>
          <w:b w:val="0"/>
          <w:bCs w:val="0"/>
          <w:sz w:val="24"/>
          <w:szCs w:val="24"/>
          <w:lang w:val="en-US"/>
        </w:rPr>
        <w:t>[6]</w:t>
      </w:r>
      <w:r>
        <w:rPr>
          <w:rFonts w:hint="default" w:ascii="Times New Roman" w:hAnsi="Times New Roman" w:cs="Times New Roman"/>
          <w:sz w:val="24"/>
          <w:szCs w:val="24"/>
        </w:rPr>
        <w:t>, проявившимся в серии военных переворотов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(2020-2021 гг.)</w:t>
      </w:r>
      <w:r>
        <w:rPr>
          <w:rFonts w:hint="default" w:ascii="Times New Roman" w:hAnsi="Times New Roman" w:cs="Times New Roman"/>
          <w:sz w:val="24"/>
          <w:szCs w:val="24"/>
        </w:rPr>
        <w:t xml:space="preserve"> и пересмотре прежних моделей 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обеспечения региональной безопасности, основанных на внешнем вмешательстве</w:t>
      </w:r>
      <w:r>
        <w:rPr>
          <w:rFonts w:hint="default" w:ascii="Times New Roman" w:hAnsi="Times New Roman" w:cs="Times New Roman"/>
          <w:sz w:val="24"/>
          <w:szCs w:val="24"/>
        </w:rPr>
        <w:t>. Усиление дискурса суверенитета и формирование новых региональных механизмов взаимодействия свидетельствуют о трансформации политической архитектуры Сахеля.</w:t>
      </w:r>
    </w:p>
    <w:p w14:paraId="4FCDA0F8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bidi="ar-SY"/>
        </w:rPr>
      </w:pPr>
      <w:r>
        <w:rPr>
          <w:rFonts w:hint="default" w:ascii="Times New Roman" w:hAnsi="Times New Roman" w:cs="Times New Roman"/>
          <w:sz w:val="24"/>
          <w:szCs w:val="24"/>
        </w:rPr>
        <w:t>Таким образом, малийский конфликт следует рассматривать как ключевой катализатор структурных изменений в регионе. Его развитие демонстрирует переход от локального этнополитического противостояния к многоуровневой региональной трансформации, в рамках которой процессы джихадизации, регионализации и ресуверенизации формируют новую конфигурацию безопасности сахаро-сахельского пространства.</w:t>
      </w:r>
    </w:p>
    <w:p w14:paraId="7D389D29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14:paraId="134F4F51">
      <w:pPr>
        <w:spacing w:before="40" w:after="4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bidi="ar-SY"/>
        </w:rPr>
      </w:pPr>
      <w:r>
        <w:rPr>
          <w:rFonts w:ascii="Times New Roman" w:hAnsi="Times New Roman" w:cs="Times New Roman"/>
          <w:b/>
          <w:bCs/>
          <w:sz w:val="24"/>
          <w:szCs w:val="24"/>
          <w:lang w:bidi="ar-SY"/>
        </w:rPr>
        <w:t xml:space="preserve">Литература и источники: </w:t>
      </w:r>
    </w:p>
    <w:p w14:paraId="70376B76">
      <w:pPr>
        <w:spacing w:before="40" w:after="40" w:line="240" w:lineRule="auto"/>
        <w:ind w:firstLine="397"/>
        <w:jc w:val="both"/>
        <w:rPr>
          <w:rFonts w:hint="default" w:ascii="Times New Roman" w:hAnsi="Times New Roman" w:cs="Times New Roman"/>
          <w:sz w:val="24"/>
          <w:szCs w:val="24"/>
          <w:lang w:val="en-US"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[1] </w:t>
      </w:r>
      <w:r>
        <w:rPr>
          <w:rFonts w:hint="default" w:ascii="Times New Roman" w:hAnsi="Times New Roman" w:cs="Times New Roman"/>
          <w:sz w:val="24"/>
          <w:szCs w:val="24"/>
        </w:rPr>
        <w:t xml:space="preserve">Thurston A. </w:t>
      </w:r>
      <w:r>
        <w:rPr>
          <w:rStyle w:val="14"/>
          <w:rFonts w:hint="default" w:ascii="Times New Roman" w:hAnsi="Times New Roman" w:cs="Times New Roman"/>
          <w:sz w:val="24"/>
          <w:szCs w:val="24"/>
        </w:rPr>
        <w:t>Jihadists of North Africa and the Sahel: Local Politics and Rebel Groups</w:t>
      </w:r>
      <w:r>
        <w:rPr>
          <w:rFonts w:hint="default" w:ascii="Times New Roman" w:hAnsi="Times New Roman" w:cs="Times New Roman"/>
          <w:sz w:val="24"/>
          <w:szCs w:val="24"/>
        </w:rPr>
        <w:t>. Cambridge; New York: Cambridge University Press, 2020</w:t>
      </w:r>
      <w:r>
        <w:rPr>
          <w:rFonts w:hint="default" w:ascii="Times New Roman" w:hAnsi="Times New Roman" w:cs="Times New Roman"/>
          <w:sz w:val="24"/>
          <w:szCs w:val="24"/>
          <w:lang w:val="en-US"/>
        </w:rPr>
        <w:t>. P. 347.</w:t>
      </w:r>
    </w:p>
    <w:p w14:paraId="65C37BDB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[2] </w:t>
      </w:r>
      <w:r>
        <w:rPr>
          <w:rStyle w:val="1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Boeke S.</w:t>
      </w:r>
      <w:r>
        <w:rPr>
          <w:rFonts w:hint="default" w:ascii="Times New Roman" w:hAnsi="Times New Roman" w:eastAsia="SimSun" w:cs="Times New Roman"/>
          <w:sz w:val="24"/>
          <w:szCs w:val="24"/>
        </w:rPr>
        <w:t xml:space="preserve"> Al Qaeda in the Islamic Maghreb: Terrorism, Insurgency, or Organized Crime? // </w:t>
      </w:r>
      <w:r>
        <w:rPr>
          <w:rStyle w:val="14"/>
          <w:rFonts w:hint="default" w:ascii="Times New Roman" w:hAnsi="Times New Roman" w:eastAsia="SimSun" w:cs="Times New Roman"/>
          <w:sz w:val="24"/>
          <w:szCs w:val="24"/>
        </w:rPr>
        <w:t>Small Wars &amp; Insurgencies</w:t>
      </w:r>
      <w:r>
        <w:rPr>
          <w:rFonts w:hint="default" w:ascii="Times New Roman" w:hAnsi="Times New Roman" w:eastAsia="SimSun" w:cs="Times New Roman"/>
          <w:sz w:val="24"/>
          <w:szCs w:val="24"/>
        </w:rPr>
        <w:t>. 2016. Vol. 27, No. 5. P. 914–936. DOI: 10.1080/09592318.2016.1208280.</w:t>
      </w:r>
    </w:p>
    <w:p w14:paraId="02B6FEED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57" w:line="240" w:lineRule="auto"/>
        <w:ind w:left="0" w:leftChars="0" w:firstLine="396" w:firstLineChars="165"/>
        <w:jc w:val="both"/>
        <w:textAlignment w:val="auto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[3] </w:t>
      </w:r>
      <w:r>
        <w:rPr>
          <w:rFonts w:hint="default"/>
        </w:rPr>
        <w:t xml:space="preserve">Mali: Avoiding Escalation // International Crisis Group. Africa Report No. 189. 18 July 2012. URL: </w:t>
      </w:r>
      <w:r>
        <w:rPr>
          <w:rFonts w:hint="default"/>
        </w:rPr>
        <w:fldChar w:fldCharType="begin"/>
      </w:r>
      <w:r>
        <w:rPr>
          <w:rFonts w:hint="default"/>
        </w:rPr>
        <w:instrText xml:space="preserve"> HYPERLINK "https://www.crisisgroup.org/rpt/africa/mali/189-mali-avoiding-escalation" \t "_new" </w:instrText>
      </w:r>
      <w:r>
        <w:rPr>
          <w:rFonts w:hint="default"/>
        </w:rPr>
        <w:fldChar w:fldCharType="separate"/>
      </w:r>
      <w:r>
        <w:rPr>
          <w:rFonts w:hint="default"/>
        </w:rPr>
        <w:t>https://www.crisisgroup.org/rpt/africa/mali/189-mali-avoiding-escalation</w:t>
      </w:r>
      <w:r>
        <w:rPr>
          <w:rFonts w:hint="default"/>
        </w:rPr>
        <w:fldChar w:fldCharType="end"/>
      </w:r>
      <w:r>
        <w:rPr>
          <w:rFonts w:hint="default"/>
        </w:rPr>
        <w:t xml:space="preserve"> (дата обращения: 07.03.2026).</w:t>
      </w:r>
    </w:p>
    <w:p w14:paraId="23547936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[4] </w:t>
      </w:r>
      <w:r>
        <w:rPr>
          <w:rStyle w:val="16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Impact of Transnational Organized Crime on Stability and Development in the Sahel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. Vienna: </w:t>
      </w:r>
      <w:r>
        <w:rPr>
          <w:rStyle w:val="14"/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>United Nations Office on Drugs and Crime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, 2024. URL: 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https://www.unodc.org/documents/data-and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  <w:lang w:val="en-US"/>
        </w:rPr>
        <w:t>-</w:t>
      </w:r>
      <w:r>
        <w:rPr>
          <w:rFonts w:hint="default" w:ascii="Times New Roman" w:hAnsi="Times New Roman" w:eastAsia="SimSun" w:cs="Times New Roman"/>
          <w:b w:val="0"/>
          <w:bCs w:val="0"/>
          <w:color w:val="auto"/>
          <w:sz w:val="24"/>
          <w:szCs w:val="24"/>
          <w:u w:val="none"/>
        </w:rPr>
        <w:t>analysis/tocta_sahel/TOCTA_Sahel_Transversal_2024.pdf</w:t>
      </w:r>
      <w:r>
        <w:rPr>
          <w:rFonts w:hint="default" w:ascii="Times New Roman" w:hAnsi="Times New Roman" w:eastAsia="SimSun" w:cs="Times New Roman"/>
          <w:b w:val="0"/>
          <w:bCs w:val="0"/>
          <w:sz w:val="24"/>
          <w:szCs w:val="24"/>
        </w:rPr>
        <w:t xml:space="preserve"> (дата обращения: 09.03.2026).</w:t>
      </w:r>
    </w:p>
    <w:p w14:paraId="41AFCE48">
      <w:pPr>
        <w:pStyle w:val="19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after="57" w:line="240" w:lineRule="auto"/>
        <w:ind w:left="0" w:leftChars="0" w:firstLine="396" w:firstLineChars="165"/>
        <w:jc w:val="both"/>
        <w:textAlignment w:val="auto"/>
        <w:rPr>
          <w:rFonts w:hint="default" w:ascii="Times New Roman" w:hAnsi="Times New Roman" w:cs="Times New Roman"/>
          <w:sz w:val="24"/>
          <w:szCs w:val="24"/>
          <w:lang w:val="en-US" w:bidi="ar-SY"/>
        </w:rPr>
      </w:pPr>
      <w:r>
        <w:rPr>
          <w:rFonts w:ascii="Times New Roman" w:hAnsi="Times New Roman" w:cs="Times New Roman"/>
          <w:sz w:val="24"/>
          <w:szCs w:val="24"/>
          <w:lang w:val="en-US" w:bidi="ar-SY"/>
        </w:rPr>
        <w:t xml:space="preserve">[5] </w:t>
      </w:r>
      <w:r>
        <w:rPr>
          <w:rFonts w:hint="default" w:ascii="Times New Roman" w:hAnsi="Times New Roman" w:cs="Times New Roman"/>
          <w:sz w:val="24"/>
          <w:szCs w:val="24"/>
        </w:rPr>
        <w:t xml:space="preserve">Salehyan I. </w:t>
      </w:r>
      <w:r>
        <w:rPr>
          <w:rStyle w:val="14"/>
          <w:rFonts w:hint="default" w:ascii="Times New Roman" w:hAnsi="Times New Roman" w:cs="Times New Roman"/>
          <w:sz w:val="24"/>
          <w:szCs w:val="24"/>
        </w:rPr>
        <w:t>Rebels without Borders: Transnational Insurgencies in World Politics</w:t>
      </w:r>
      <w:r>
        <w:rPr>
          <w:rFonts w:hint="default" w:ascii="Times New Roman" w:hAnsi="Times New Roman" w:cs="Times New Roman"/>
          <w:sz w:val="24"/>
          <w:szCs w:val="24"/>
        </w:rPr>
        <w:t>. Ithaca; London: Cornell University Press, 2009.</w:t>
      </w:r>
      <w:r>
        <w:rPr>
          <w:rFonts w:hint="default" w:cs="Times New Roman"/>
          <w:sz w:val="24"/>
          <w:szCs w:val="24"/>
          <w:lang w:val="en-US"/>
        </w:rPr>
        <w:t xml:space="preserve"> P. 216.</w:t>
      </w:r>
    </w:p>
    <w:p w14:paraId="4B8E8403">
      <w:pPr>
        <w:keepNext w:val="0"/>
        <w:keepLines w:val="0"/>
        <w:widowControl/>
        <w:suppressLineNumbers w:val="0"/>
        <w:ind w:left="0" w:leftChars="0" w:firstLine="396" w:firstLineChars="165"/>
        <w:jc w:val="both"/>
        <w:rPr>
          <w:rFonts w:hint="default"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bidi="ar-SY"/>
        </w:rPr>
        <w:t xml:space="preserve">[6] 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 xml:space="preserve">Дегтерев Д.А. Ресуверенизация Африки в контексте формирования нового миропорядка. </w:t>
      </w:r>
      <w:r>
        <w:rPr>
          <w:rFonts w:hint="default" w:ascii="Times New Roman" w:hAnsi="Times New Roman" w:eastAsia="TimesNewRomanPS-ItalicMT" w:cs="Times New Roman"/>
          <w:i/>
          <w:iCs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Ученые записки Института Африки РАН</w:t>
      </w:r>
      <w:r>
        <w:rPr>
          <w:rFonts w:hint="default" w:ascii="Times New Roman" w:hAnsi="Times New Roman" w:eastAsia="SimSun" w:cs="Times New Roman"/>
          <w:color w:val="000000"/>
          <w:kern w:val="0"/>
          <w:sz w:val="24"/>
          <w:szCs w:val="24"/>
          <w:lang w:val="en-US" w:eastAsia="zh-CN" w:bidi="ar"/>
          <w14:ligatures w14:val="standardContextual"/>
        </w:rPr>
        <w:t>. 2024. № 4. С. 29–48. https://doi.org/10.31132/2412-5717-2024-69-4-29-48</w:t>
      </w:r>
    </w:p>
    <w:p w14:paraId="7589EEE7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14:paraId="2243C107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p w14:paraId="41407C21">
      <w:pPr>
        <w:spacing w:before="40" w:after="4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  <w:lang w:bidi="ar-SY"/>
        </w:rPr>
      </w:pPr>
    </w:p>
    <w:sectPr>
      <w:pgSz w:w="11906" w:h="16838"/>
      <w:pgMar w:top="1134" w:right="1361" w:bottom="1134" w:left="1361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TimesNewRomanPS-ItalicM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6">
    <w:p>
      <w:pPr>
        <w:spacing w:before="0" w:after="0" w:line="259" w:lineRule="auto"/>
      </w:pPr>
      <w:r>
        <w:separator/>
      </w:r>
    </w:p>
  </w:footnote>
  <w:footnote w:type="continuationSeparator" w:id="7">
    <w:p>
      <w:pPr>
        <w:spacing w:before="0" w:after="0" w:line="259" w:lineRule="auto"/>
      </w:pPr>
      <w:r>
        <w:continuationSeparator/>
      </w:r>
    </w:p>
  </w:footnote>
  <w:footnote w:id="0">
    <w:p w14:paraId="2DA2AAFE">
      <w:pPr>
        <w:pStyle w:val="17"/>
        <w:snapToGrid w:val="0"/>
        <w:jc w:val="both"/>
        <w:rPr>
          <w:rFonts w:hint="default" w:ascii="Times New Roman" w:hAnsi="Times New Roman" w:cs="Times New Roman"/>
          <w:lang w:val="ru-RU" w:bidi="ar-SY"/>
        </w:rPr>
      </w:pPr>
      <w:r>
        <w:rPr>
          <w:rStyle w:val="13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«Аль-Каида Исламского Магриба». Террористическая организация, запрещенная в РФ.</w:t>
      </w:r>
    </w:p>
  </w:footnote>
  <w:footnote w:id="1">
    <w:p w14:paraId="36EAF8BE">
      <w:pPr>
        <w:pStyle w:val="17"/>
        <w:snapToGrid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Style w:val="13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«Движение за единство и джихад в Западной Африке». Террористическая организация, запрещенная в РФ.</w:t>
      </w:r>
    </w:p>
  </w:footnote>
  <w:footnote w:id="2">
    <w:p w14:paraId="1E0BD974">
      <w:pPr>
        <w:pStyle w:val="17"/>
        <w:snapToGrid w:val="0"/>
        <w:jc w:val="both"/>
        <w:rPr>
          <w:rFonts w:hint="default" w:ascii="Times New Roman" w:hAnsi="Times New Roman" w:cs="Times New Roman"/>
          <w:lang w:val="ru-RU"/>
        </w:rPr>
      </w:pPr>
      <w:r>
        <w:rPr>
          <w:rStyle w:val="13"/>
          <w:rFonts w:hint="default" w:ascii="Times New Roman" w:hAnsi="Times New Roman" w:cs="Times New Roman"/>
        </w:rPr>
        <w:footnoteRef/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cs="Times New Roman"/>
          <w:lang w:val="ru-RU"/>
        </w:rPr>
        <w:t>Террористическая организация, запрещенная в РФ.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6"/>
    <w:footnote w:id="7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78A7"/>
    <w:rsid w:val="00064A36"/>
    <w:rsid w:val="000A48DD"/>
    <w:rsid w:val="000C3AB7"/>
    <w:rsid w:val="001878A7"/>
    <w:rsid w:val="0019093D"/>
    <w:rsid w:val="0022063D"/>
    <w:rsid w:val="00264207"/>
    <w:rsid w:val="00295EF0"/>
    <w:rsid w:val="003B7808"/>
    <w:rsid w:val="003F1491"/>
    <w:rsid w:val="004C1E65"/>
    <w:rsid w:val="004D32E6"/>
    <w:rsid w:val="004D3D7D"/>
    <w:rsid w:val="00610F1F"/>
    <w:rsid w:val="00641430"/>
    <w:rsid w:val="0070459C"/>
    <w:rsid w:val="00815668"/>
    <w:rsid w:val="00891C63"/>
    <w:rsid w:val="00991166"/>
    <w:rsid w:val="009A04FE"/>
    <w:rsid w:val="009E6802"/>
    <w:rsid w:val="009F04DF"/>
    <w:rsid w:val="009F2697"/>
    <w:rsid w:val="00A666B4"/>
    <w:rsid w:val="00A94A48"/>
    <w:rsid w:val="00B60F7B"/>
    <w:rsid w:val="00BC6150"/>
    <w:rsid w:val="00C96BBE"/>
    <w:rsid w:val="00E26CC9"/>
    <w:rsid w:val="00E3041C"/>
    <w:rsid w:val="00E50D53"/>
    <w:rsid w:val="00E5286A"/>
    <w:rsid w:val="00EF1E40"/>
    <w:rsid w:val="00EF392E"/>
    <w:rsid w:val="00F52B22"/>
    <w:rsid w:val="00F71570"/>
    <w:rsid w:val="00F7539C"/>
    <w:rsid w:val="0D892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nhideWhenUsed="0" w:uiPriority="99" w:semiHidden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footnote reference"/>
    <w:basedOn w:val="11"/>
    <w:uiPriority w:val="99"/>
    <w:rPr>
      <w:vertAlign w:val="superscript"/>
    </w:rPr>
  </w:style>
  <w:style w:type="character" w:styleId="14">
    <w:name w:val="Emphasis"/>
    <w:basedOn w:val="11"/>
    <w:qFormat/>
    <w:uiPriority w:val="0"/>
    <w:rPr>
      <w:i/>
      <w:iCs/>
    </w:r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6">
    <w:name w:val="Strong"/>
    <w:basedOn w:val="11"/>
    <w:qFormat/>
    <w:uiPriority w:val="22"/>
    <w:rPr>
      <w:b/>
      <w:bCs/>
    </w:rPr>
  </w:style>
  <w:style w:type="paragraph" w:styleId="17">
    <w:name w:val="footnote text"/>
    <w:basedOn w:val="1"/>
    <w:link w:val="40"/>
    <w:uiPriority w:val="99"/>
    <w:pPr>
      <w:spacing w:after="0" w:line="240" w:lineRule="auto"/>
    </w:pPr>
    <w:rPr>
      <w:rFonts w:ascii="Aptos" w:hAnsi="Aptos" w:eastAsia="Aptos" w:cs="Arial"/>
      <w:sz w:val="20"/>
      <w:szCs w:val="20"/>
    </w:rPr>
  </w:style>
  <w:style w:type="paragraph" w:styleId="18">
    <w:name w:val="Title"/>
    <w:basedOn w:val="1"/>
    <w:next w:val="1"/>
    <w:link w:val="30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9">
    <w:name w:val="Normal (Web)"/>
    <w:basedOn w:val="1"/>
    <w:semiHidden/>
    <w:unhideWhenUsed/>
    <w:uiPriority w:val="99"/>
    <w:rPr>
      <w:rFonts w:ascii="Times New Roman" w:hAnsi="Times New Roman" w:cs="Times New Roman"/>
      <w:sz w:val="24"/>
      <w:szCs w:val="24"/>
    </w:rPr>
  </w:style>
  <w:style w:type="paragraph" w:styleId="20">
    <w:name w:val="Subtitle"/>
    <w:basedOn w:val="1"/>
    <w:next w:val="1"/>
    <w:link w:val="31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1">
    <w:name w:val="Заголовок 1 Знак"/>
    <w:basedOn w:val="11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2">
    <w:name w:val="Заголовок 2 Знак"/>
    <w:basedOn w:val="11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3">
    <w:name w:val="Заголовок 3 Знак"/>
    <w:basedOn w:val="11"/>
    <w:link w:val="4"/>
    <w:semiHidden/>
    <w:qFormat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4">
    <w:name w:val="Заголовок 4 Знак"/>
    <w:basedOn w:val="11"/>
    <w:link w:val="5"/>
    <w:semiHidden/>
    <w:qFormat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5">
    <w:name w:val="Заголовок 5 Знак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6">
    <w:name w:val="Заголовок 6 Знак"/>
    <w:basedOn w:val="11"/>
    <w:link w:val="7"/>
    <w:semiHidden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Заголовок 7 Знак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Заголовок 8 Знак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9">
    <w:name w:val="Заголовок 9 Знак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0">
    <w:name w:val="Заголовок Знак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Подзаголовок Знак"/>
    <w:basedOn w:val="11"/>
    <w:link w:val="20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Цитата 2 Знак"/>
    <w:basedOn w:val="11"/>
    <w:link w:val="32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</w:style>
  <w:style w:type="character" w:customStyle="1" w:styleId="35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7">
    <w:name w:val="Выделенная цитата Знак"/>
    <w:basedOn w:val="11"/>
    <w:link w:val="36"/>
    <w:qFormat/>
    <w:uiPriority w:val="30"/>
    <w:rPr>
      <w:i/>
      <w:iCs/>
      <w:color w:val="104862" w:themeColor="accent1" w:themeShade="BF"/>
    </w:rPr>
  </w:style>
  <w:style w:type="character" w:customStyle="1" w:styleId="38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9">
    <w:name w:val="Unresolved Mention"/>
    <w:basedOn w:val="11"/>
    <w:semiHidden/>
    <w:unhideWhenUsed/>
    <w:uiPriority w:val="99"/>
    <w:rPr>
      <w:color w:val="605E5C"/>
      <w:shd w:val="clear" w:color="auto" w:fill="E1DFDD"/>
    </w:rPr>
  </w:style>
  <w:style w:type="character" w:customStyle="1" w:styleId="40">
    <w:name w:val="Текст сноски Знак"/>
    <w:basedOn w:val="11"/>
    <w:link w:val="17"/>
    <w:uiPriority w:val="99"/>
    <w:rPr>
      <w:rFonts w:ascii="Aptos" w:hAnsi="Aptos" w:eastAsia="Aptos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836</Words>
  <Characters>6068</Characters>
  <Lines>99</Lines>
  <Paragraphs>26</Paragraphs>
  <TotalTime>5</TotalTime>
  <ScaleCrop>false</ScaleCrop>
  <LinksUpToDate>false</LinksUpToDate>
  <CharactersWithSpaces>6878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2025-03-01T06:42:00Z</dcterms:created>
  <dc:creator>Венедиктов Егор Александрович</dc:creator>
  <cp:lastModifiedBy>Егор Александро�</cp:lastModifiedBy>
  <dcterms:modified xsi:type="dcterms:W3CDTF">2026-03-09T18:46:12Z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253E5BEB22074D55A5E0D892078BC8D6_12</vt:lpwstr>
  </property>
</Properties>
</file>