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AD1" w:rsidRDefault="004B4AF4" w:rsidP="002C4C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bCs/>
          <w:sz w:val="28"/>
          <w:szCs w:val="28"/>
        </w:rPr>
        <w:t xml:space="preserve">Армяно-турецкая нормализация: </w:t>
      </w:r>
      <w:r w:rsidR="005B412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2C4C2A" w:rsidRPr="002C4C2A">
        <w:rPr>
          <w:rFonts w:ascii="Times New Roman" w:hAnsi="Times New Roman" w:cs="Times New Roman"/>
          <w:b/>
          <w:bCs/>
          <w:sz w:val="28"/>
          <w:szCs w:val="28"/>
        </w:rPr>
        <w:t xml:space="preserve">нтересы Анкары в треугольнике </w:t>
      </w:r>
      <w:r w:rsidR="00BE4D0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4C2A" w:rsidRPr="002C4C2A">
        <w:rPr>
          <w:rFonts w:ascii="Times New Roman" w:hAnsi="Times New Roman" w:cs="Times New Roman"/>
          <w:b/>
          <w:bCs/>
          <w:sz w:val="28"/>
          <w:szCs w:val="28"/>
        </w:rPr>
        <w:t>Турция – Россия – Южный Кавказ</w:t>
      </w:r>
      <w:bookmarkEnd w:id="0"/>
      <w:bookmarkEnd w:id="1"/>
      <w:r w:rsidR="00BE4D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4C2A" w:rsidRDefault="002C4C2A" w:rsidP="002C4C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22A9" w:rsidRPr="004B4AF4" w:rsidRDefault="00BE4D0F" w:rsidP="00337751">
      <w:pPr>
        <w:ind w:firstLine="567"/>
        <w:jc w:val="both"/>
        <w:rPr>
          <w:rFonts w:ascii="Times New Roman" w:hAnsi="Times New Roman" w:cs="Times New Roman"/>
        </w:rPr>
      </w:pPr>
      <w:r w:rsidRPr="004B4AF4">
        <w:rPr>
          <w:rFonts w:ascii="Times New Roman" w:hAnsi="Times New Roman" w:cs="Times New Roman"/>
        </w:rPr>
        <w:t>В фокусе внимания исследования стоит дискурс об а</w:t>
      </w:r>
      <w:r w:rsidR="00D10A9C" w:rsidRPr="004B4AF4">
        <w:rPr>
          <w:rFonts w:ascii="Times New Roman" w:hAnsi="Times New Roman" w:cs="Times New Roman"/>
        </w:rPr>
        <w:t>кт</w:t>
      </w:r>
      <w:r w:rsidRPr="004B4AF4">
        <w:rPr>
          <w:rFonts w:ascii="Times New Roman" w:hAnsi="Times New Roman" w:cs="Times New Roman"/>
        </w:rPr>
        <w:t>уальных интеграционных процессах на Южном Кавказе. После событий 2020</w:t>
      </w:r>
      <w:r w:rsidR="002D4FC2" w:rsidRPr="004B4AF4">
        <w:rPr>
          <w:rFonts w:ascii="Times New Roman" w:hAnsi="Times New Roman" w:cs="Times New Roman"/>
        </w:rPr>
        <w:t xml:space="preserve"> </w:t>
      </w:r>
      <w:r w:rsidRPr="004B4AF4">
        <w:rPr>
          <w:rFonts w:ascii="Times New Roman" w:hAnsi="Times New Roman" w:cs="Times New Roman"/>
        </w:rPr>
        <w:t>–</w:t>
      </w:r>
      <w:r w:rsidR="002D4FC2" w:rsidRPr="004B4AF4">
        <w:rPr>
          <w:rFonts w:ascii="Times New Roman" w:hAnsi="Times New Roman" w:cs="Times New Roman"/>
        </w:rPr>
        <w:t xml:space="preserve"> </w:t>
      </w:r>
      <w:r w:rsidRPr="004B4AF4">
        <w:rPr>
          <w:rFonts w:ascii="Times New Roman" w:hAnsi="Times New Roman" w:cs="Times New Roman"/>
        </w:rPr>
        <w:t>2023 гг. регион вошёл в но</w:t>
      </w:r>
      <w:r w:rsidR="0097089E" w:rsidRPr="004B4AF4">
        <w:rPr>
          <w:rFonts w:ascii="Times New Roman" w:hAnsi="Times New Roman" w:cs="Times New Roman"/>
        </w:rPr>
        <w:t xml:space="preserve">вую эпоху </w:t>
      </w:r>
      <w:proofErr w:type="spellStart"/>
      <w:r w:rsidR="0097089E" w:rsidRPr="004B4AF4">
        <w:rPr>
          <w:rFonts w:ascii="Times New Roman" w:hAnsi="Times New Roman" w:cs="Times New Roman"/>
        </w:rPr>
        <w:t>посткарабахского</w:t>
      </w:r>
      <w:proofErr w:type="spellEnd"/>
      <w:r w:rsidR="0097089E" w:rsidRPr="004B4AF4">
        <w:rPr>
          <w:rFonts w:ascii="Times New Roman" w:hAnsi="Times New Roman" w:cs="Times New Roman"/>
        </w:rPr>
        <w:t xml:space="preserve"> урегулирования</w:t>
      </w:r>
      <w:r w:rsidR="00A25FCD" w:rsidRPr="004B4AF4">
        <w:rPr>
          <w:rFonts w:ascii="Times New Roman" w:hAnsi="Times New Roman" w:cs="Times New Roman"/>
        </w:rPr>
        <w:t xml:space="preserve">, и одним из важных </w:t>
      </w:r>
      <w:r w:rsidR="008051EC" w:rsidRPr="004B4AF4">
        <w:rPr>
          <w:rFonts w:ascii="Times New Roman" w:hAnsi="Times New Roman" w:cs="Times New Roman"/>
        </w:rPr>
        <w:t>последействий военного</w:t>
      </w:r>
      <w:r w:rsidR="00A25FCD" w:rsidRPr="004B4AF4">
        <w:rPr>
          <w:rFonts w:ascii="Times New Roman" w:hAnsi="Times New Roman" w:cs="Times New Roman"/>
        </w:rPr>
        <w:t xml:space="preserve"> конфликта стало перераспределение влияния в регионе, как между малыми государствами, так и между </w:t>
      </w:r>
      <w:r w:rsidR="001C2F0E">
        <w:rPr>
          <w:rFonts w:ascii="Times New Roman" w:hAnsi="Times New Roman" w:cs="Times New Roman"/>
        </w:rPr>
        <w:t>крупными</w:t>
      </w:r>
      <w:r w:rsidR="00A25FCD" w:rsidRPr="004B4AF4">
        <w:rPr>
          <w:rFonts w:ascii="Times New Roman" w:hAnsi="Times New Roman" w:cs="Times New Roman"/>
        </w:rPr>
        <w:t xml:space="preserve"> державами. </w:t>
      </w:r>
    </w:p>
    <w:p w:rsidR="00B778F7" w:rsidRPr="004B4AF4" w:rsidRDefault="003B22A9" w:rsidP="003B22A9">
      <w:pPr>
        <w:ind w:firstLine="851"/>
        <w:jc w:val="both"/>
        <w:rPr>
          <w:rFonts w:ascii="Times New Roman" w:hAnsi="Times New Roman" w:cs="Times New Roman"/>
        </w:rPr>
      </w:pPr>
      <w:r w:rsidRPr="004B4AF4">
        <w:rPr>
          <w:rFonts w:ascii="Times New Roman" w:hAnsi="Times New Roman" w:cs="Times New Roman"/>
        </w:rPr>
        <w:t>С распадом СССР перед Турцией возникли новые возможности для полноценного сотрудничества с Восточным направлением</w:t>
      </w:r>
      <w:r w:rsidRPr="004B4AF4">
        <w:rPr>
          <w:rStyle w:val="a3"/>
          <w:rFonts w:ascii="Times New Roman" w:hAnsi="Times New Roman" w:cs="Times New Roman"/>
        </w:rPr>
        <w:footnoteReference w:id="1"/>
      </w:r>
      <w:r w:rsidRPr="004B4AF4">
        <w:rPr>
          <w:rFonts w:ascii="Times New Roman" w:hAnsi="Times New Roman" w:cs="Times New Roman"/>
        </w:rPr>
        <w:t xml:space="preserve">. Открылось направление Центральной Азии, где Турция взяла за идеологическое основание сотрудничества тюркизм с акцентом на турецкую нацию, как образующее звено в этой концепции. Открылось и </w:t>
      </w:r>
      <w:proofErr w:type="spellStart"/>
      <w:r w:rsidRPr="004B4AF4">
        <w:rPr>
          <w:rFonts w:ascii="Times New Roman" w:hAnsi="Times New Roman" w:cs="Times New Roman"/>
        </w:rPr>
        <w:t>южнокавказское</w:t>
      </w:r>
      <w:proofErr w:type="spellEnd"/>
      <w:r w:rsidRPr="004B4AF4">
        <w:rPr>
          <w:rFonts w:ascii="Times New Roman" w:hAnsi="Times New Roman" w:cs="Times New Roman"/>
        </w:rPr>
        <w:t xml:space="preserve"> направление, в котором Турция наладила отношения с Азербайджаном и Грузией (дипломатические отношения с Арменией сейчас в статусе </w:t>
      </w:r>
      <w:r w:rsidRPr="004B4AF4">
        <w:rPr>
          <w:rFonts w:ascii="Times New Roman" w:hAnsi="Times New Roman" w:cs="Times New Roman"/>
          <w:lang w:val="en-US"/>
        </w:rPr>
        <w:t>ad</w:t>
      </w:r>
      <w:r w:rsidRPr="004B4AF4">
        <w:rPr>
          <w:rFonts w:ascii="Times New Roman" w:hAnsi="Times New Roman" w:cs="Times New Roman"/>
        </w:rPr>
        <w:t xml:space="preserve"> </w:t>
      </w:r>
      <w:r w:rsidRPr="004B4AF4">
        <w:rPr>
          <w:rFonts w:ascii="Times New Roman" w:hAnsi="Times New Roman" w:cs="Times New Roman"/>
          <w:lang w:val="en-US"/>
        </w:rPr>
        <w:t>hoc</w:t>
      </w:r>
      <w:r w:rsidRPr="004B4AF4">
        <w:rPr>
          <w:rFonts w:ascii="Times New Roman" w:hAnsi="Times New Roman" w:cs="Times New Roman"/>
        </w:rPr>
        <w:t>). Турция стремилась заполнить собой тот вакуум, который возник вдоль её границы после формирования новых национальных республик.</w:t>
      </w:r>
      <w:r w:rsidR="001E31B9" w:rsidRPr="004B4AF4">
        <w:rPr>
          <w:rFonts w:ascii="Times New Roman" w:hAnsi="Times New Roman" w:cs="Times New Roman"/>
        </w:rPr>
        <w:t xml:space="preserve"> </w:t>
      </w:r>
      <w:r w:rsidR="001E31B9" w:rsidRPr="004B4AF4">
        <w:rPr>
          <w:rFonts w:ascii="Times New Roman" w:hAnsi="Times New Roman" w:cs="Times New Roman"/>
        </w:rPr>
        <w:t>Важно отметить, что на тот момент Анкара не могла предложить альтернативную модель развития центральноазиатским странам</w:t>
      </w:r>
      <w:r w:rsidR="001E31B9" w:rsidRPr="004B4AF4">
        <w:rPr>
          <w:rStyle w:val="a3"/>
          <w:rFonts w:ascii="Times New Roman" w:hAnsi="Times New Roman" w:cs="Times New Roman"/>
        </w:rPr>
        <w:footnoteReference w:id="2"/>
      </w:r>
      <w:r w:rsidR="001E31B9" w:rsidRPr="004B4AF4">
        <w:rPr>
          <w:rFonts w:ascii="Times New Roman" w:hAnsi="Times New Roman" w:cs="Times New Roman"/>
        </w:rPr>
        <w:t>: после опыта СССР, в них преобладала тенденция избавления от всего, что напоминало о прошлом, поэтому страны постсоветского пространства сторонились нового покровительства и стремились перенимать именно западную модель построения демократии</w:t>
      </w:r>
      <w:r w:rsidR="001E31B9" w:rsidRPr="004B4AF4">
        <w:rPr>
          <w:rStyle w:val="a3"/>
          <w:rFonts w:ascii="Times New Roman" w:hAnsi="Times New Roman" w:cs="Times New Roman"/>
        </w:rPr>
        <w:footnoteReference w:id="3"/>
      </w:r>
      <w:r w:rsidR="001E31B9" w:rsidRPr="004B4AF4">
        <w:rPr>
          <w:rFonts w:ascii="Times New Roman" w:hAnsi="Times New Roman" w:cs="Times New Roman"/>
        </w:rPr>
        <w:t xml:space="preserve">. Несмотря на это, Турция медленными, но верными шагами строила экономические связи </w:t>
      </w:r>
      <w:r w:rsidR="004B4AF4" w:rsidRPr="004B4AF4">
        <w:rPr>
          <w:rFonts w:ascii="Times New Roman" w:hAnsi="Times New Roman" w:cs="Times New Roman"/>
        </w:rPr>
        <w:t xml:space="preserve">во всех направлениях, включая Южный Кавказ. </w:t>
      </w:r>
      <w:r w:rsidR="001E31B9" w:rsidRPr="004B4AF4">
        <w:rPr>
          <w:rFonts w:ascii="Times New Roman" w:hAnsi="Times New Roman" w:cs="Times New Roman"/>
        </w:rPr>
        <w:t>Сегодня же Турецкая Респуб</w:t>
      </w:r>
      <w:r w:rsidR="001E31B9" w:rsidRPr="006000E1">
        <w:rPr>
          <w:rFonts w:ascii="Times New Roman" w:hAnsi="Times New Roman" w:cs="Times New Roman"/>
        </w:rPr>
        <w:t>лика</w:t>
      </w:r>
      <w:r w:rsidR="006000E1">
        <w:rPr>
          <w:rFonts w:ascii="Times New Roman" w:hAnsi="Times New Roman" w:cs="Times New Roman"/>
        </w:rPr>
        <w:t xml:space="preserve"> проводит активную политику в регионе и является ключевым партнёром для Азербайджана и Грузии, а также делает первые шаги по налаживанию двустороннего диалога с Арменией. </w:t>
      </w:r>
    </w:p>
    <w:p w:rsidR="004B4AF4" w:rsidRDefault="00414E97" w:rsidP="00337751">
      <w:pPr>
        <w:ind w:firstLine="567"/>
        <w:jc w:val="both"/>
        <w:rPr>
          <w:rFonts w:ascii="Times New Roman" w:hAnsi="Times New Roman" w:cs="Times New Roman"/>
        </w:rPr>
      </w:pPr>
      <w:r w:rsidRPr="004B4AF4">
        <w:rPr>
          <w:rFonts w:ascii="Times New Roman" w:hAnsi="Times New Roman" w:cs="Times New Roman"/>
        </w:rPr>
        <w:t>В работе Южный Кавказ рассматривается не просто как объект турецкой или российской политик</w:t>
      </w:r>
      <w:r w:rsidR="004B4AF4" w:rsidRPr="004B4AF4">
        <w:rPr>
          <w:rFonts w:ascii="Times New Roman" w:hAnsi="Times New Roman" w:cs="Times New Roman"/>
        </w:rPr>
        <w:t>и</w:t>
      </w:r>
      <w:r w:rsidRPr="004B4AF4">
        <w:rPr>
          <w:rFonts w:ascii="Times New Roman" w:hAnsi="Times New Roman" w:cs="Times New Roman"/>
        </w:rPr>
        <w:t>, а как пространство пересечения интересов Анкары и Москвы, где нормализация с Арменией, связка с Азербайджаном и транспортные проекты анализируются в единой логике</w:t>
      </w:r>
      <w:r w:rsidR="004B4AF4" w:rsidRPr="004B4AF4">
        <w:rPr>
          <w:rFonts w:ascii="Times New Roman" w:hAnsi="Times New Roman" w:cs="Times New Roman"/>
        </w:rPr>
        <w:t xml:space="preserve"> мировой политики и актуальных событий в регионе</w:t>
      </w:r>
      <w:r w:rsidRPr="004B4AF4">
        <w:rPr>
          <w:rFonts w:ascii="Times New Roman" w:hAnsi="Times New Roman" w:cs="Times New Roman"/>
        </w:rPr>
        <w:t>.</w:t>
      </w:r>
      <w:r w:rsidR="00625F4C">
        <w:rPr>
          <w:rFonts w:ascii="Times New Roman" w:hAnsi="Times New Roman" w:cs="Times New Roman"/>
        </w:rPr>
        <w:t xml:space="preserve"> </w:t>
      </w:r>
      <w:r w:rsidR="003769BB">
        <w:rPr>
          <w:rFonts w:ascii="Times New Roman" w:hAnsi="Times New Roman" w:cs="Times New Roman"/>
        </w:rPr>
        <w:t xml:space="preserve">Так называемый процесс </w:t>
      </w:r>
      <w:r w:rsidR="006000E1">
        <w:rPr>
          <w:rFonts w:ascii="Times New Roman" w:hAnsi="Times New Roman" w:cs="Times New Roman"/>
        </w:rPr>
        <w:t>«</w:t>
      </w:r>
      <w:r w:rsidR="003769BB">
        <w:rPr>
          <w:rFonts w:ascii="Times New Roman" w:hAnsi="Times New Roman" w:cs="Times New Roman"/>
        </w:rPr>
        <w:t>нормализации</w:t>
      </w:r>
      <w:r w:rsidR="006000E1">
        <w:rPr>
          <w:rFonts w:ascii="Times New Roman" w:hAnsi="Times New Roman" w:cs="Times New Roman"/>
        </w:rPr>
        <w:t>»</w:t>
      </w:r>
      <w:r w:rsidR="003769BB">
        <w:rPr>
          <w:rFonts w:ascii="Times New Roman" w:hAnsi="Times New Roman" w:cs="Times New Roman"/>
        </w:rPr>
        <w:t xml:space="preserve"> отношений Турции, Армении и Азербайджана протекает в качестве одной из составных частей более широкой и дальновидной политики Анкары, которая выражена в национальном проекте «Великого Турана»</w:t>
      </w:r>
      <w:r w:rsidR="00AB63C9">
        <w:rPr>
          <w:rFonts w:ascii="Times New Roman" w:hAnsi="Times New Roman" w:cs="Times New Roman"/>
        </w:rPr>
        <w:t xml:space="preserve"> или актуальной концепции </w:t>
      </w:r>
      <w:r w:rsidR="00EF543E">
        <w:rPr>
          <w:rFonts w:ascii="Times New Roman" w:hAnsi="Times New Roman" w:cs="Times New Roman"/>
        </w:rPr>
        <w:t xml:space="preserve">внешней политики </w:t>
      </w:r>
      <w:r w:rsidR="00185B7F">
        <w:rPr>
          <w:rFonts w:ascii="Times New Roman" w:hAnsi="Times New Roman" w:cs="Times New Roman"/>
        </w:rPr>
        <w:t>«Век Турции»</w:t>
      </w:r>
      <w:r w:rsidR="009F26B0">
        <w:rPr>
          <w:rStyle w:val="a3"/>
          <w:rFonts w:ascii="Times New Roman" w:hAnsi="Times New Roman" w:cs="Times New Roman"/>
        </w:rPr>
        <w:footnoteReference w:id="4"/>
      </w:r>
      <w:r w:rsidR="003769BB">
        <w:rPr>
          <w:rFonts w:ascii="Times New Roman" w:hAnsi="Times New Roman" w:cs="Times New Roman"/>
        </w:rPr>
        <w:t xml:space="preserve">. </w:t>
      </w:r>
    </w:p>
    <w:p w:rsidR="00414E97" w:rsidRDefault="004B4AF4" w:rsidP="00337751">
      <w:pPr>
        <w:ind w:firstLine="567"/>
        <w:jc w:val="both"/>
        <w:rPr>
          <w:rFonts w:ascii="Times New Roman" w:hAnsi="Times New Roman" w:cs="Times New Roman"/>
        </w:rPr>
      </w:pPr>
      <w:r w:rsidRPr="004B4AF4">
        <w:rPr>
          <w:rFonts w:ascii="Times New Roman" w:hAnsi="Times New Roman" w:cs="Times New Roman"/>
        </w:rPr>
        <w:t>В качестве источников используются официальные заявления турецких, армянских</w:t>
      </w:r>
      <w:r>
        <w:rPr>
          <w:rFonts w:ascii="Times New Roman" w:hAnsi="Times New Roman" w:cs="Times New Roman"/>
        </w:rPr>
        <w:t xml:space="preserve">, грузинских, азербайджанских </w:t>
      </w:r>
      <w:r w:rsidRPr="004B4AF4">
        <w:rPr>
          <w:rFonts w:ascii="Times New Roman" w:hAnsi="Times New Roman" w:cs="Times New Roman"/>
        </w:rPr>
        <w:t xml:space="preserve">и российских внешнеполитических ведомств, материалы ведущих </w:t>
      </w:r>
      <w:r w:rsidR="006000E1">
        <w:rPr>
          <w:rFonts w:ascii="Times New Roman" w:hAnsi="Times New Roman" w:cs="Times New Roman"/>
        </w:rPr>
        <w:t>СМИ</w:t>
      </w:r>
      <w:r w:rsidRPr="004B4AF4">
        <w:rPr>
          <w:rFonts w:ascii="Times New Roman" w:hAnsi="Times New Roman" w:cs="Times New Roman"/>
        </w:rPr>
        <w:t xml:space="preserve"> и аналитические </w:t>
      </w:r>
      <w:r w:rsidR="006000E1">
        <w:rPr>
          <w:rFonts w:ascii="Times New Roman" w:hAnsi="Times New Roman" w:cs="Times New Roman"/>
        </w:rPr>
        <w:t>материалы профильных центров и опытных экспертов.</w:t>
      </w:r>
      <w:r w:rsidRPr="004B4AF4">
        <w:rPr>
          <w:rFonts w:ascii="Times New Roman" w:hAnsi="Times New Roman" w:cs="Times New Roman"/>
        </w:rPr>
        <w:t xml:space="preserve"> </w:t>
      </w:r>
      <w:r w:rsidR="006000E1">
        <w:rPr>
          <w:rFonts w:ascii="Times New Roman" w:hAnsi="Times New Roman" w:cs="Times New Roman"/>
        </w:rPr>
        <w:t>М</w:t>
      </w:r>
      <w:r w:rsidRPr="004B4AF4">
        <w:rPr>
          <w:rFonts w:ascii="Times New Roman" w:hAnsi="Times New Roman" w:cs="Times New Roman"/>
        </w:rPr>
        <w:t>етодологически исследование опирается на анализ, элементы теории регионального баланса сил.</w:t>
      </w:r>
    </w:p>
    <w:p w:rsidR="004B4AF4" w:rsidRPr="004B4AF4" w:rsidRDefault="004B4AF4" w:rsidP="00337751">
      <w:pPr>
        <w:ind w:firstLine="567"/>
        <w:jc w:val="both"/>
        <w:rPr>
          <w:rFonts w:ascii="Times New Roman" w:hAnsi="Times New Roman" w:cs="Times New Roman"/>
        </w:rPr>
      </w:pPr>
      <w:r w:rsidRPr="004B4AF4">
        <w:rPr>
          <w:rFonts w:ascii="Times New Roman" w:hAnsi="Times New Roman" w:cs="Times New Roman"/>
        </w:rPr>
        <w:t xml:space="preserve">В выводах подчёркивается, что армяно-турецкая нормализация в её текущем виде выступает не только </w:t>
      </w:r>
      <w:r w:rsidR="008B2C2D">
        <w:rPr>
          <w:rFonts w:ascii="Times New Roman" w:hAnsi="Times New Roman" w:cs="Times New Roman"/>
        </w:rPr>
        <w:t xml:space="preserve">разрядкой двустороннего процесса и </w:t>
      </w:r>
      <w:r w:rsidR="002A2586">
        <w:rPr>
          <w:rFonts w:ascii="Times New Roman" w:hAnsi="Times New Roman" w:cs="Times New Roman"/>
        </w:rPr>
        <w:t>одним из ключевых этапов к более эффективному использованию возможностей региона</w:t>
      </w:r>
      <w:r w:rsidRPr="004B4AF4">
        <w:rPr>
          <w:rFonts w:ascii="Times New Roman" w:hAnsi="Times New Roman" w:cs="Times New Roman"/>
        </w:rPr>
        <w:t>, но и элементом более широкой стратегии Анкары по закреплению статуса ключевого регионального игрока, способного одновременно сотрудничать и конкурировать с Россией на Южном Кавказе</w:t>
      </w:r>
      <w:r w:rsidR="002A2586">
        <w:rPr>
          <w:rFonts w:ascii="Times New Roman" w:hAnsi="Times New Roman" w:cs="Times New Roman"/>
        </w:rPr>
        <w:t xml:space="preserve">. </w:t>
      </w:r>
      <w:r w:rsidR="00BC733F">
        <w:rPr>
          <w:rFonts w:ascii="Times New Roman" w:hAnsi="Times New Roman" w:cs="Times New Roman"/>
        </w:rPr>
        <w:t>При этом «нормализация» между Турцией и Арменией ставит перед Россией ряд новых вызовов</w:t>
      </w:r>
      <w:r w:rsidR="00C31844">
        <w:rPr>
          <w:rFonts w:ascii="Times New Roman" w:hAnsi="Times New Roman" w:cs="Times New Roman"/>
        </w:rPr>
        <w:t xml:space="preserve">: </w:t>
      </w:r>
      <w:r w:rsidR="00C31844">
        <w:rPr>
          <w:rFonts w:ascii="Times New Roman" w:hAnsi="Times New Roman" w:cs="Times New Roman"/>
        </w:rPr>
        <w:lastRenderedPageBreak/>
        <w:t>например, проникновение западн</w:t>
      </w:r>
      <w:r w:rsidR="00631353">
        <w:rPr>
          <w:rFonts w:ascii="Times New Roman" w:hAnsi="Times New Roman" w:cs="Times New Roman"/>
        </w:rPr>
        <w:t xml:space="preserve">ого влияния </w:t>
      </w:r>
      <w:r w:rsidR="00C31844">
        <w:rPr>
          <w:rFonts w:ascii="Times New Roman" w:hAnsi="Times New Roman" w:cs="Times New Roman"/>
        </w:rPr>
        <w:t xml:space="preserve">на </w:t>
      </w:r>
      <w:r w:rsidR="00631353">
        <w:rPr>
          <w:rFonts w:ascii="Times New Roman" w:hAnsi="Times New Roman" w:cs="Times New Roman"/>
        </w:rPr>
        <w:t>формирование логистических артерий</w:t>
      </w:r>
      <w:r w:rsidR="00C31844">
        <w:rPr>
          <w:rFonts w:ascii="Times New Roman" w:hAnsi="Times New Roman" w:cs="Times New Roman"/>
        </w:rPr>
        <w:t xml:space="preserve"> на Южном Кавказе</w:t>
      </w:r>
      <w:r w:rsidR="00BC733F">
        <w:rPr>
          <w:rFonts w:ascii="Times New Roman" w:hAnsi="Times New Roman" w:cs="Times New Roman"/>
        </w:rPr>
        <w:t>.</w:t>
      </w:r>
      <w:r w:rsidR="00BC733F" w:rsidRPr="00BC733F">
        <w:rPr>
          <w:rFonts w:ascii="Times New Roman" w:hAnsi="Times New Roman" w:cs="Times New Roman"/>
        </w:rPr>
        <w:t xml:space="preserve"> </w:t>
      </w:r>
      <w:r w:rsidR="002A2586">
        <w:rPr>
          <w:rFonts w:ascii="Times New Roman" w:hAnsi="Times New Roman" w:cs="Times New Roman"/>
        </w:rPr>
        <w:t>В</w:t>
      </w:r>
      <w:r w:rsidRPr="004B4AF4">
        <w:rPr>
          <w:rFonts w:ascii="Times New Roman" w:hAnsi="Times New Roman" w:cs="Times New Roman"/>
        </w:rPr>
        <w:t>месте с тем</w:t>
      </w:r>
      <w:r w:rsidR="002A2586">
        <w:rPr>
          <w:rFonts w:ascii="Times New Roman" w:hAnsi="Times New Roman" w:cs="Times New Roman"/>
        </w:rPr>
        <w:t>,</w:t>
      </w:r>
      <w:r w:rsidRPr="004B4AF4">
        <w:rPr>
          <w:rFonts w:ascii="Times New Roman" w:hAnsi="Times New Roman" w:cs="Times New Roman"/>
        </w:rPr>
        <w:t xml:space="preserve"> отмечается сохраняющаяся хрупкость процесса </w:t>
      </w:r>
      <w:r w:rsidR="002A2586">
        <w:rPr>
          <w:rFonts w:ascii="Times New Roman" w:hAnsi="Times New Roman" w:cs="Times New Roman"/>
        </w:rPr>
        <w:t>выстраивания диалога</w:t>
      </w:r>
      <w:r w:rsidRPr="004B4AF4">
        <w:rPr>
          <w:rFonts w:ascii="Times New Roman" w:hAnsi="Times New Roman" w:cs="Times New Roman"/>
        </w:rPr>
        <w:t xml:space="preserve">, зависящего от динамики </w:t>
      </w:r>
      <w:r w:rsidR="00C31844">
        <w:rPr>
          <w:rFonts w:ascii="Times New Roman" w:hAnsi="Times New Roman" w:cs="Times New Roman"/>
        </w:rPr>
        <w:t>русско-турецких</w:t>
      </w:r>
      <w:r w:rsidRPr="004B4AF4">
        <w:rPr>
          <w:rFonts w:ascii="Times New Roman" w:hAnsi="Times New Roman" w:cs="Times New Roman"/>
        </w:rPr>
        <w:t xml:space="preserve"> отношений и внутреннеполитического контекста в Армении и Турции.</w:t>
      </w:r>
    </w:p>
    <w:p w:rsidR="002C4C2A" w:rsidRPr="002C4C2A" w:rsidRDefault="002C4C2A" w:rsidP="00BE4D0F">
      <w:pPr>
        <w:rPr>
          <w:rFonts w:ascii="Times New Roman" w:hAnsi="Times New Roman" w:cs="Times New Roman"/>
          <w:sz w:val="28"/>
          <w:szCs w:val="28"/>
        </w:rPr>
      </w:pPr>
    </w:p>
    <w:sectPr w:rsidR="002C4C2A" w:rsidRPr="002C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F1E" w:rsidRDefault="00730F1E" w:rsidP="003B22A9">
      <w:r>
        <w:separator/>
      </w:r>
    </w:p>
  </w:endnote>
  <w:endnote w:type="continuationSeparator" w:id="0">
    <w:p w:rsidR="00730F1E" w:rsidRDefault="00730F1E" w:rsidP="003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F1E" w:rsidRDefault="00730F1E" w:rsidP="003B22A9">
      <w:r>
        <w:separator/>
      </w:r>
    </w:p>
  </w:footnote>
  <w:footnote w:type="continuationSeparator" w:id="0">
    <w:p w:rsidR="00730F1E" w:rsidRDefault="00730F1E" w:rsidP="003B22A9">
      <w:r>
        <w:continuationSeparator/>
      </w:r>
    </w:p>
  </w:footnote>
  <w:footnote w:id="1">
    <w:p w:rsidR="003B22A9" w:rsidRDefault="003B22A9" w:rsidP="00CD2132">
      <w:pPr>
        <w:pStyle w:val="a4"/>
      </w:pPr>
      <w:r>
        <w:rPr>
          <w:rStyle w:val="a3"/>
        </w:rPr>
        <w:footnoteRef/>
      </w:r>
      <w:r>
        <w:t xml:space="preserve"> </w:t>
      </w:r>
      <w:r w:rsidRPr="00B76DA8">
        <w:t xml:space="preserve">Москаленко </w:t>
      </w:r>
      <w:r>
        <w:t>В.А.</w:t>
      </w:r>
      <w:r w:rsidRPr="00B76DA8">
        <w:t xml:space="preserve"> Этапы модификации внешнеполитических усилий Турции в отношении государств Центральной Азии в 1991–2022 гг. // Общество: политика, экономика, право. </w:t>
      </w:r>
      <w:r>
        <w:t xml:space="preserve">– </w:t>
      </w:r>
      <w:r w:rsidRPr="00B76DA8">
        <w:t xml:space="preserve">2025. </w:t>
      </w:r>
      <w:r>
        <w:t xml:space="preserve">– </w:t>
      </w:r>
      <w:r w:rsidRPr="00B76DA8">
        <w:t>№</w:t>
      </w:r>
      <w:proofErr w:type="gramStart"/>
      <w:r w:rsidRPr="00B76DA8">
        <w:t>3</w:t>
      </w:r>
      <w:r>
        <w:t>.</w:t>
      </w:r>
      <w:r>
        <w:rPr>
          <w:color w:val="FFFFFF"/>
        </w:rPr>
        <w:t>.</w:t>
      </w:r>
      <w:proofErr w:type="gramEnd"/>
      <w:r>
        <w:rPr>
          <w:rStyle w:val="apple-converted-space"/>
          <w:rFonts w:ascii="Arial" w:hAnsi="Arial" w:cs="Arial"/>
          <w:sz w:val="18"/>
          <w:szCs w:val="18"/>
        </w:rPr>
        <w:t xml:space="preserve">– </w:t>
      </w:r>
      <w:r w:rsidRPr="001C41A5">
        <w:rPr>
          <w:rStyle w:val="apple-converted-space"/>
          <w:szCs w:val="24"/>
        </w:rPr>
        <w:t>с. 60</w:t>
      </w:r>
      <w:r w:rsidR="00C31844">
        <w:rPr>
          <w:rStyle w:val="apple-converted-space"/>
          <w:szCs w:val="24"/>
        </w:rPr>
        <w:t>.</w:t>
      </w:r>
    </w:p>
  </w:footnote>
  <w:footnote w:id="2">
    <w:p w:rsidR="001E31B9" w:rsidRPr="00467337" w:rsidRDefault="001E31B9" w:rsidP="00C31844">
      <w:pPr>
        <w:pStyle w:val="a5"/>
        <w:jc w:val="both"/>
      </w:pPr>
    </w:p>
  </w:footnote>
  <w:footnote w:id="3">
    <w:p w:rsidR="001E31B9" w:rsidRDefault="001E31B9" w:rsidP="00CD2132">
      <w:pPr>
        <w:pStyle w:val="a4"/>
      </w:pPr>
      <w:r>
        <w:rPr>
          <w:rStyle w:val="a3"/>
        </w:rPr>
        <w:footnoteRef/>
      </w:r>
      <w:r>
        <w:t xml:space="preserve"> Там же. с. 62.</w:t>
      </w:r>
    </w:p>
  </w:footnote>
  <w:footnote w:id="4">
    <w:p w:rsidR="009F26B0" w:rsidRPr="00B03221" w:rsidRDefault="009F26B0" w:rsidP="00CD21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</w:rPr>
        <w:footnoteRef/>
      </w:r>
      <w:r>
        <w:t xml:space="preserve"> </w:t>
      </w:r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“</w:t>
      </w:r>
      <w:proofErr w:type="spellStart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Türkiye</w:t>
      </w:r>
      <w:proofErr w:type="spellEnd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Yüzyili”Nda</w:t>
      </w:r>
      <w:proofErr w:type="spellEnd"/>
      <w:proofErr w:type="gramEnd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Milli</w:t>
      </w:r>
      <w:proofErr w:type="spellEnd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Diş</w:t>
      </w:r>
      <w:proofErr w:type="spellEnd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Politika</w:t>
      </w:r>
      <w:proofErr w:type="spellEnd"/>
      <w:r w:rsidR="00CD2132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// </w:t>
      </w:r>
      <w:proofErr w:type="spellStart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Türkiye</w:t>
      </w:r>
      <w:proofErr w:type="spellEnd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Cumhuriyeti</w:t>
      </w:r>
      <w:proofErr w:type="spellEnd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Dışişleri</w:t>
      </w:r>
      <w:proofErr w:type="spellEnd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B03221" w:rsidRPr="00CD2132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Bakanlığı</w:t>
      </w:r>
      <w:proofErr w:type="spellEnd"/>
      <w:r w:rsidR="00B03221" w:rsidRPr="00CD21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3221" w:rsidRPr="00B03221">
        <w:rPr>
          <w:rFonts w:ascii="Times New Roman" w:hAnsi="Times New Roman" w:cs="Times New Roman"/>
          <w:sz w:val="24"/>
          <w:szCs w:val="24"/>
        </w:rPr>
        <w:t xml:space="preserve"> – [Электронный ресурс] URL: </w:t>
      </w:r>
      <w:hyperlink r:id="rId1" w:history="1">
        <w:r w:rsidR="00B03221" w:rsidRPr="00B03221">
          <w:rPr>
            <w:rStyle w:val="a7"/>
            <w:rFonts w:ascii="Times New Roman" w:hAnsi="Times New Roman" w:cs="Times New Roman"/>
            <w:sz w:val="24"/>
            <w:szCs w:val="24"/>
          </w:rPr>
          <w:t>https://www.mfa.gov.tr/turkiye-cumhuriyeti-disisleri-bakanligi-tarihcesi.tr.mfa</w:t>
        </w:r>
      </w:hyperlink>
      <w:r w:rsidR="00B03221" w:rsidRPr="00B03221">
        <w:rPr>
          <w:rFonts w:ascii="Times New Roman" w:hAnsi="Times New Roman" w:cs="Times New Roman"/>
          <w:sz w:val="24"/>
          <w:szCs w:val="24"/>
        </w:rPr>
        <w:t xml:space="preserve">  (дата обращения: 07.05.2025)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D1"/>
    <w:rsid w:val="0002434B"/>
    <w:rsid w:val="00037DEA"/>
    <w:rsid w:val="001138FB"/>
    <w:rsid w:val="00185B7F"/>
    <w:rsid w:val="001C2F0E"/>
    <w:rsid w:val="001C41A5"/>
    <w:rsid w:val="001E31B9"/>
    <w:rsid w:val="002A2586"/>
    <w:rsid w:val="002C4C2A"/>
    <w:rsid w:val="002D4FC2"/>
    <w:rsid w:val="00337751"/>
    <w:rsid w:val="003769BB"/>
    <w:rsid w:val="003B22A9"/>
    <w:rsid w:val="00414E97"/>
    <w:rsid w:val="004304D7"/>
    <w:rsid w:val="00472336"/>
    <w:rsid w:val="004B4AF4"/>
    <w:rsid w:val="005B412F"/>
    <w:rsid w:val="006000E1"/>
    <w:rsid w:val="00625F4C"/>
    <w:rsid w:val="00631353"/>
    <w:rsid w:val="007102C8"/>
    <w:rsid w:val="007233DB"/>
    <w:rsid w:val="00730F1E"/>
    <w:rsid w:val="008051EC"/>
    <w:rsid w:val="008B2C2D"/>
    <w:rsid w:val="008E440C"/>
    <w:rsid w:val="009276A2"/>
    <w:rsid w:val="009618EB"/>
    <w:rsid w:val="0097089E"/>
    <w:rsid w:val="009C3629"/>
    <w:rsid w:val="009F26B0"/>
    <w:rsid w:val="00A25FCD"/>
    <w:rsid w:val="00A57C46"/>
    <w:rsid w:val="00A95612"/>
    <w:rsid w:val="00AB63C9"/>
    <w:rsid w:val="00AE3AD1"/>
    <w:rsid w:val="00B03221"/>
    <w:rsid w:val="00B778F7"/>
    <w:rsid w:val="00BC733F"/>
    <w:rsid w:val="00BE4D0F"/>
    <w:rsid w:val="00C31844"/>
    <w:rsid w:val="00CD2132"/>
    <w:rsid w:val="00D10A9C"/>
    <w:rsid w:val="00EF543E"/>
    <w:rsid w:val="00F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8B5447"/>
  <w15:chartTrackingRefBased/>
  <w15:docId w15:val="{3749A1D7-E1A6-D743-B27D-9ED1933B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22A9"/>
  </w:style>
  <w:style w:type="character" w:styleId="a3">
    <w:name w:val="footnote reference"/>
    <w:basedOn w:val="a0"/>
    <w:uiPriority w:val="99"/>
    <w:semiHidden/>
    <w:unhideWhenUsed/>
    <w:rsid w:val="003B22A9"/>
    <w:rPr>
      <w:vertAlign w:val="superscript"/>
    </w:rPr>
  </w:style>
  <w:style w:type="paragraph" w:customStyle="1" w:styleId="a4">
    <w:name w:val="сновки ТУРЦИЯ"/>
    <w:basedOn w:val="a5"/>
    <w:qFormat/>
    <w:rsid w:val="003B22A9"/>
    <w:pPr>
      <w:jc w:val="both"/>
    </w:pPr>
    <w:rPr>
      <w:rFonts w:ascii="Times New Roman" w:eastAsia="Times New Roman" w:hAnsi="Times New Roman" w:cs="Times New Roman"/>
      <w:color w:val="222222"/>
      <w:kern w:val="0"/>
      <w:sz w:val="24"/>
      <w:szCs w:val="21"/>
      <w:shd w:val="clear" w:color="auto" w:fill="FFFFFF"/>
      <w:lang w:eastAsia="ru-RU"/>
      <w14:ligatures w14:val="none"/>
    </w:rPr>
  </w:style>
  <w:style w:type="paragraph" w:styleId="a5">
    <w:name w:val="footnote text"/>
    <w:basedOn w:val="a"/>
    <w:link w:val="a6"/>
    <w:uiPriority w:val="99"/>
    <w:unhideWhenUsed/>
    <w:rsid w:val="003B22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B22A9"/>
    <w:rPr>
      <w:sz w:val="20"/>
      <w:szCs w:val="20"/>
    </w:rPr>
  </w:style>
  <w:style w:type="character" w:styleId="a7">
    <w:name w:val="Hyperlink"/>
    <w:basedOn w:val="a0"/>
    <w:uiPriority w:val="99"/>
    <w:unhideWhenUsed/>
    <w:rsid w:val="00B03221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B03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.gov.tr/turkiye-cumhuriyeti-disisleri-bakanligi-tarihcesi.tr.m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4CD69-99C6-BA4D-A2F3-44D2AD00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Амирханян</dc:creator>
  <cp:keywords/>
  <dc:description/>
  <cp:lastModifiedBy>Нелли Амирханян</cp:lastModifiedBy>
  <cp:revision>92</cp:revision>
  <dcterms:created xsi:type="dcterms:W3CDTF">2026-02-27T12:44:00Z</dcterms:created>
  <dcterms:modified xsi:type="dcterms:W3CDTF">2026-02-28T18:22:00Z</dcterms:modified>
</cp:coreProperties>
</file>