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2AC2" w14:textId="429403E4" w:rsidR="000F6B46" w:rsidRPr="000F6B46" w:rsidRDefault="00123B76" w:rsidP="000F6B46">
      <w:pPr>
        <w:spacing w:line="360" w:lineRule="auto"/>
        <w:contextualSpacing/>
        <w:jc w:val="center"/>
        <w:rPr>
          <w:rStyle w:val="s1mrcssattr"/>
          <w:b/>
          <w:bCs/>
          <w:color w:val="000000" w:themeColor="text1"/>
        </w:rPr>
      </w:pPr>
      <w:r>
        <w:rPr>
          <w:rStyle w:val="s1mrcssattr"/>
          <w:b/>
          <w:bCs/>
          <w:color w:val="000000" w:themeColor="text1"/>
        </w:rPr>
        <w:t>Между Баку, Ереваном и Анкарой: проблема определения статуса Нагорного Карабаха в советской политике 1920-1921 гг.</w:t>
      </w:r>
      <w:r w:rsidR="000F6B46" w:rsidRPr="000F6B46">
        <w:rPr>
          <w:rStyle w:val="s1mrcssattr"/>
          <w:b/>
          <w:bCs/>
          <w:color w:val="000000" w:themeColor="text1"/>
        </w:rPr>
        <w:t xml:space="preserve"> (по материалам Г</w:t>
      </w:r>
      <w:r>
        <w:rPr>
          <w:rStyle w:val="s1mrcssattr"/>
          <w:b/>
          <w:bCs/>
          <w:color w:val="000000" w:themeColor="text1"/>
        </w:rPr>
        <w:t>ИААР</w:t>
      </w:r>
      <w:r w:rsidR="000F6B46" w:rsidRPr="000F6B46">
        <w:rPr>
          <w:rStyle w:val="s1mrcssattr"/>
          <w:b/>
          <w:bCs/>
          <w:color w:val="000000" w:themeColor="text1"/>
        </w:rPr>
        <w:t>)</w:t>
      </w:r>
    </w:p>
    <w:p w14:paraId="1E829C8A" w14:textId="52D81407" w:rsidR="008077DD" w:rsidRPr="000F6B46" w:rsidRDefault="008077DD" w:rsidP="000F6B46">
      <w:pPr>
        <w:spacing w:line="360" w:lineRule="auto"/>
        <w:contextualSpacing/>
        <w:jc w:val="center"/>
        <w:rPr>
          <w:b/>
          <w:bCs/>
          <w:i/>
          <w:iCs/>
          <w:color w:val="000000" w:themeColor="text1"/>
        </w:rPr>
      </w:pPr>
      <w:r w:rsidRPr="000F6B46">
        <w:rPr>
          <w:b/>
          <w:bCs/>
          <w:i/>
          <w:iCs/>
          <w:color w:val="000000" w:themeColor="text1"/>
        </w:rPr>
        <w:t xml:space="preserve">Ализаде </w:t>
      </w:r>
      <w:proofErr w:type="spellStart"/>
      <w:r w:rsidRPr="000F6B46">
        <w:rPr>
          <w:b/>
          <w:bCs/>
          <w:i/>
          <w:iCs/>
          <w:color w:val="000000" w:themeColor="text1"/>
        </w:rPr>
        <w:t>Джавид</w:t>
      </w:r>
      <w:proofErr w:type="spellEnd"/>
      <w:r w:rsidRPr="000F6B46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0F6B46">
        <w:rPr>
          <w:b/>
          <w:bCs/>
          <w:i/>
          <w:iCs/>
          <w:color w:val="000000" w:themeColor="text1"/>
        </w:rPr>
        <w:t>Ильгар</w:t>
      </w:r>
      <w:proofErr w:type="spellEnd"/>
      <w:r w:rsidRPr="000F6B46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0F6B46">
        <w:rPr>
          <w:b/>
          <w:bCs/>
          <w:i/>
          <w:iCs/>
          <w:color w:val="000000" w:themeColor="text1"/>
        </w:rPr>
        <w:t>оглы</w:t>
      </w:r>
      <w:proofErr w:type="spellEnd"/>
    </w:p>
    <w:p w14:paraId="13BC0F43" w14:textId="594A3EB0" w:rsidR="008077DD" w:rsidRPr="00F31E20" w:rsidRDefault="008077DD" w:rsidP="000F6B46">
      <w:pPr>
        <w:pStyle w:val="a4"/>
        <w:spacing w:line="360" w:lineRule="auto"/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Аспирант</w:t>
      </w:r>
      <w:r w:rsidRPr="00F31E20">
        <w:rPr>
          <w:i/>
          <w:iCs/>
          <w:color w:val="000000" w:themeColor="text1"/>
        </w:rPr>
        <w:t xml:space="preserve"> </w:t>
      </w:r>
      <w:r w:rsidRPr="000F6B46">
        <w:rPr>
          <w:i/>
          <w:iCs/>
          <w:color w:val="000000" w:themeColor="text1"/>
        </w:rPr>
        <w:t>2</w:t>
      </w:r>
      <w:r>
        <w:rPr>
          <w:i/>
          <w:iCs/>
          <w:color w:val="000000" w:themeColor="text1"/>
        </w:rPr>
        <w:t>-го</w:t>
      </w:r>
      <w:r w:rsidRPr="00F31E2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года</w:t>
      </w:r>
      <w:r w:rsidRPr="00F31E2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обучения</w:t>
      </w:r>
    </w:p>
    <w:p w14:paraId="30A22880" w14:textId="77777777" w:rsidR="008077DD" w:rsidRPr="00F31E20" w:rsidRDefault="008077DD" w:rsidP="000F6B46">
      <w:pPr>
        <w:spacing w:line="360" w:lineRule="auto"/>
        <w:contextualSpacing/>
        <w:jc w:val="center"/>
        <w:rPr>
          <w:i/>
          <w:iCs/>
          <w:color w:val="000000" w:themeColor="text1"/>
        </w:rPr>
      </w:pPr>
      <w:r w:rsidRPr="00F31E20">
        <w:rPr>
          <w:i/>
          <w:iCs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F31E20">
        <w:rPr>
          <w:i/>
          <w:iCs/>
          <w:color w:val="000000" w:themeColor="text1"/>
        </w:rPr>
        <w:t>М.В.Ломоносова</w:t>
      </w:r>
      <w:proofErr w:type="spellEnd"/>
      <w:r w:rsidRPr="00F31E20">
        <w:rPr>
          <w:i/>
          <w:iCs/>
          <w:color w:val="000000" w:themeColor="text1"/>
        </w:rPr>
        <w:t>,</w:t>
      </w:r>
      <w:r w:rsidRPr="00F31E20">
        <w:rPr>
          <w:i/>
          <w:iCs/>
          <w:color w:val="000000" w:themeColor="text1"/>
        </w:rPr>
        <w:br/>
        <w:t>Институт стран Азии и Африки, Москва, Россия</w:t>
      </w:r>
    </w:p>
    <w:p w14:paraId="57F881F4" w14:textId="77777777" w:rsidR="008077DD" w:rsidRPr="00F31E20" w:rsidRDefault="008077DD" w:rsidP="000F6B46">
      <w:pPr>
        <w:spacing w:line="360" w:lineRule="auto"/>
        <w:contextualSpacing/>
        <w:jc w:val="center"/>
        <w:rPr>
          <w:i/>
          <w:iCs/>
          <w:color w:val="000000" w:themeColor="text1"/>
          <w:lang w:val="en-US"/>
        </w:rPr>
      </w:pPr>
      <w:r w:rsidRPr="00F31E20">
        <w:rPr>
          <w:i/>
          <w:iCs/>
          <w:color w:val="000000" w:themeColor="text1"/>
          <w:lang w:val="en-US"/>
        </w:rPr>
        <w:t xml:space="preserve">E-mail: </w:t>
      </w:r>
      <w:r w:rsidRPr="00F31E20">
        <w:rPr>
          <w:i/>
          <w:iCs/>
          <w:color w:val="000000" w:themeColor="text1"/>
          <w:u w:val="single"/>
          <w:lang w:val="en-US"/>
        </w:rPr>
        <w:t>dzhavid.alizade.96@mail.ru</w:t>
      </w:r>
    </w:p>
    <w:p w14:paraId="4BAF48A4" w14:textId="77777777" w:rsidR="008077DD" w:rsidRPr="008077DD" w:rsidRDefault="008077DD" w:rsidP="008077DD">
      <w:pPr>
        <w:spacing w:line="360" w:lineRule="auto"/>
        <w:ind w:firstLine="709"/>
        <w:jc w:val="both"/>
        <w:rPr>
          <w:rStyle w:val="s1mrcssattr"/>
          <w:color w:val="000000"/>
          <w:lang w:val="en-US"/>
        </w:rPr>
      </w:pPr>
    </w:p>
    <w:p w14:paraId="61217F73" w14:textId="23B401A1" w:rsidR="008077DD" w:rsidRDefault="008077DD" w:rsidP="008077DD">
      <w:pPr>
        <w:spacing w:line="360" w:lineRule="auto"/>
        <w:ind w:firstLine="709"/>
        <w:jc w:val="both"/>
        <w:rPr>
          <w:rStyle w:val="s1mrcssattr"/>
        </w:rPr>
      </w:pPr>
      <w:r w:rsidRPr="00AB4EFA">
        <w:rPr>
          <w:rStyle w:val="s1mrcssattr"/>
          <w:color w:val="000000"/>
        </w:rPr>
        <w:t>Главной задачей данного исследования является выявление факторов, которые заставили большевиков отойти от принципа этногеографической границы при определении территориального деления между Азербайджаном и Арменией в контексте Нагорного Карабаха, а также анализ степени влияния Турции на этот процесс.</w:t>
      </w:r>
    </w:p>
    <w:p w14:paraId="1AD02B0D" w14:textId="36339316" w:rsidR="008077DD" w:rsidRDefault="008077DD" w:rsidP="008077DD">
      <w:pPr>
        <w:spacing w:line="360" w:lineRule="auto"/>
        <w:ind w:firstLine="709"/>
        <w:jc w:val="both"/>
        <w:rPr>
          <w:rStyle w:val="s1mrcssattr"/>
          <w:color w:val="000000"/>
        </w:rPr>
      </w:pPr>
      <w:r w:rsidRPr="008077DD">
        <w:rPr>
          <w:rStyle w:val="s1mrcssattr"/>
          <w:color w:val="000000"/>
        </w:rPr>
        <w:t>В нашем исследовании было применено несколько типов источников. Прежде всего, следует выделить неопубликованные архивные материалы из фонда Государственного исторического архива Азербайджанской Республики</w:t>
      </w:r>
      <w:r>
        <w:rPr>
          <w:rStyle w:val="s1mrcssattr"/>
          <w:color w:val="000000"/>
        </w:rPr>
        <w:t xml:space="preserve"> </w:t>
      </w:r>
      <w:r w:rsidRPr="004334EF">
        <w:t>[1,2,3,4,5,6,7]</w:t>
      </w:r>
      <w:r w:rsidRPr="008077DD">
        <w:rPr>
          <w:rStyle w:val="s1mrcssattr"/>
          <w:color w:val="000000"/>
        </w:rPr>
        <w:t xml:space="preserve">. Важную роль играют и источники личного происхождения, включая мемуары и дневники политических деятелей АДР и Англии, а именно работы председателя парламента А.Д. </w:t>
      </w:r>
      <w:proofErr w:type="spellStart"/>
      <w:r w:rsidRPr="008077DD">
        <w:rPr>
          <w:rStyle w:val="s1mrcssattr"/>
          <w:color w:val="000000"/>
        </w:rPr>
        <w:t>Топчибашева</w:t>
      </w:r>
      <w:proofErr w:type="spellEnd"/>
      <w:r w:rsidRPr="008077DD">
        <w:rPr>
          <w:rStyle w:val="s1mrcssattr"/>
          <w:color w:val="000000"/>
        </w:rPr>
        <w:t xml:space="preserve"> </w:t>
      </w:r>
      <w:r w:rsidRPr="004334EF">
        <w:t>[8]</w:t>
      </w:r>
      <w:r w:rsidRPr="004334EF">
        <w:rPr>
          <w:rStyle w:val="s1mrcssattr"/>
          <w:color w:val="000000"/>
        </w:rPr>
        <w:t xml:space="preserve"> </w:t>
      </w:r>
      <w:r w:rsidRPr="008077DD">
        <w:rPr>
          <w:rStyle w:val="s1mrcssattr"/>
          <w:color w:val="000000"/>
        </w:rPr>
        <w:t>и премьер-министра Великобритании Дэвида Ллойда Джорджа, занимавшего этот пост в тот период</w:t>
      </w:r>
      <w:r>
        <w:rPr>
          <w:rStyle w:val="s1mrcssattr"/>
          <w:color w:val="000000"/>
        </w:rPr>
        <w:t xml:space="preserve"> </w:t>
      </w:r>
      <w:r w:rsidRPr="004334EF">
        <w:t>[9].</w:t>
      </w:r>
    </w:p>
    <w:p w14:paraId="1A82398E" w14:textId="6A14CEDC" w:rsidR="008077DD" w:rsidRDefault="008077DD" w:rsidP="008077DD">
      <w:pPr>
        <w:spacing w:line="360" w:lineRule="auto"/>
        <w:ind w:firstLine="709"/>
        <w:jc w:val="both"/>
      </w:pPr>
      <w:r w:rsidRPr="008077DD">
        <w:t xml:space="preserve">В данной работе мы будем опираться на разнообразные исследования, посвященные как военно-политической ситуации, сложившейся в Закавказье и сопредельных регионах, так и международной обстановке первой четверти XX в. </w:t>
      </w:r>
      <w:proofErr w:type="gramStart"/>
      <w:r w:rsidRPr="008077DD">
        <w:t>В целом,</w:t>
      </w:r>
      <w:proofErr w:type="gramEnd"/>
      <w:r w:rsidRPr="008077DD">
        <w:t xml:space="preserve"> </w:t>
      </w:r>
      <w:proofErr w:type="spellStart"/>
      <w:r>
        <w:t>к</w:t>
      </w:r>
      <w:r w:rsidRPr="008077DD">
        <w:t>акавказский</w:t>
      </w:r>
      <w:proofErr w:type="spellEnd"/>
      <w:r w:rsidRPr="008077DD">
        <w:t xml:space="preserve"> вектор внешней политики России сохраняет свою актуальность в современных русскоязычных и англоязычных исторических исследованиях, которые пополнились значительным количеством новых работ. Однако при этом истинные причины отказа от принципа этногеографической границы в контексте </w:t>
      </w:r>
      <w:r>
        <w:t>решения</w:t>
      </w:r>
      <w:r w:rsidRPr="008077DD">
        <w:t xml:space="preserve"> карабахского вопроса, как правило, остаются вне поля зрения.</w:t>
      </w:r>
    </w:p>
    <w:p w14:paraId="456ABE86" w14:textId="6412932C" w:rsidR="008077DD" w:rsidRDefault="008077DD" w:rsidP="008077DD">
      <w:pPr>
        <w:spacing w:line="360" w:lineRule="auto"/>
        <w:ind w:firstLine="709"/>
        <w:jc w:val="both"/>
        <w:rPr>
          <w:color w:val="000000"/>
        </w:rPr>
      </w:pPr>
      <w:r w:rsidRPr="004334EF">
        <w:t xml:space="preserve">Стоит выделить работу А.Б. </w:t>
      </w:r>
      <w:proofErr w:type="spellStart"/>
      <w:r w:rsidRPr="004334EF">
        <w:t>Кадищева</w:t>
      </w:r>
      <w:proofErr w:type="spellEnd"/>
      <w:r w:rsidRPr="004334EF">
        <w:t xml:space="preserve"> [</w:t>
      </w:r>
      <w:r w:rsidRPr="008077DD">
        <w:t>10</w:t>
      </w:r>
      <w:r w:rsidRPr="004334EF">
        <w:t>], посвященную общей обстановке и ходу борьбы с иностранной военной интервенцией и буржуазно-националистическими правительствами в Закавказье в 1917 – 1921 гг., а также монографию</w:t>
      </w:r>
      <w:r>
        <w:t xml:space="preserve"> </w:t>
      </w:r>
      <w:proofErr w:type="gramStart"/>
      <w:r>
        <w:t>А.Н.</w:t>
      </w:r>
      <w:proofErr w:type="gramEnd"/>
      <w:r>
        <w:t xml:space="preserve"> Хейфеца </w:t>
      </w:r>
      <w:r w:rsidRPr="00C83B6D">
        <w:t>[</w:t>
      </w:r>
      <w:r>
        <w:t>1</w:t>
      </w:r>
      <w:r w:rsidRPr="008077DD">
        <w:t>1</w:t>
      </w:r>
      <w:r w:rsidRPr="00C83B6D">
        <w:t>]</w:t>
      </w:r>
      <w:r w:rsidRPr="00C812F5">
        <w:t xml:space="preserve">, посвященную военно-политической истории </w:t>
      </w:r>
      <w:r>
        <w:t xml:space="preserve">Анатолии и </w:t>
      </w:r>
      <w:r w:rsidRPr="00C812F5">
        <w:t xml:space="preserve">Закавказья в первой четверти </w:t>
      </w:r>
      <w:r w:rsidRPr="00C812F5">
        <w:rPr>
          <w:lang w:val="en-US"/>
        </w:rPr>
        <w:t>XX</w:t>
      </w:r>
      <w:r w:rsidRPr="00C812F5">
        <w:t xml:space="preserve"> в</w:t>
      </w:r>
      <w:r>
        <w:t xml:space="preserve">. </w:t>
      </w:r>
      <w:r w:rsidRPr="008077DD">
        <w:rPr>
          <w:color w:val="000000"/>
        </w:rPr>
        <w:t xml:space="preserve">Обе работы предоставляют интересные аспекты взаимоотношений Москвы с правительствами Закавказья. Несмотря на </w:t>
      </w:r>
      <w:proofErr w:type="gramStart"/>
      <w:r w:rsidRPr="008077DD">
        <w:rPr>
          <w:color w:val="000000"/>
        </w:rPr>
        <w:t>то</w:t>
      </w:r>
      <w:proofErr w:type="gramEnd"/>
      <w:r w:rsidRPr="008077DD">
        <w:rPr>
          <w:color w:val="000000"/>
        </w:rPr>
        <w:t xml:space="preserve"> что они в основном опираются на марксистско-ленинскую методологию, в них содержится тщательный анализ воздействия </w:t>
      </w:r>
      <w:r w:rsidRPr="008077DD">
        <w:rPr>
          <w:color w:val="000000"/>
        </w:rPr>
        <w:lastRenderedPageBreak/>
        <w:t>международной ситуации на военно-политическое развитие региона после завершения Первой мировой войны.</w:t>
      </w:r>
    </w:p>
    <w:p w14:paraId="39885F68" w14:textId="064438D4" w:rsidR="008077DD" w:rsidRDefault="008077DD" w:rsidP="008077DD">
      <w:pPr>
        <w:spacing w:line="360" w:lineRule="auto"/>
        <w:ind w:firstLine="709"/>
        <w:jc w:val="both"/>
      </w:pPr>
      <w:r w:rsidRPr="008077DD">
        <w:t>Исследования русскоязычных авторов дополняют работы зарубежных исследователей</w:t>
      </w:r>
      <w:r>
        <w:t xml:space="preserve"> </w:t>
      </w:r>
      <w:r w:rsidRPr="004334EF">
        <w:t>[</w:t>
      </w:r>
      <w:r w:rsidRPr="008077DD">
        <w:t>12</w:t>
      </w:r>
      <w:r w:rsidRPr="004334EF">
        <w:t>,</w:t>
      </w:r>
      <w:r w:rsidRPr="008077DD">
        <w:t>13</w:t>
      </w:r>
      <w:r w:rsidRPr="004334EF">
        <w:t>]</w:t>
      </w:r>
      <w:r w:rsidRPr="008077DD">
        <w:t>. Настоящая работа представляет собой попытку определить цели, которыми руководствовалась Советская Россия, вмешиваясь в проблемы административно-территориального деления закавказских республик в постреволюционный период, а также их связь с событиями на международной арене.</w:t>
      </w:r>
    </w:p>
    <w:p w14:paraId="2790CEED" w14:textId="38E527C3" w:rsidR="008077DD" w:rsidRDefault="008077DD" w:rsidP="008077DD">
      <w:pPr>
        <w:spacing w:line="360" w:lineRule="auto"/>
        <w:ind w:firstLine="709"/>
        <w:jc w:val="both"/>
      </w:pPr>
      <w:r w:rsidRPr="008077DD">
        <w:t xml:space="preserve">В ходе исследования было выявлено несколько причин, побудивших </w:t>
      </w:r>
      <w:r>
        <w:t>РСФСР</w:t>
      </w:r>
      <w:r w:rsidRPr="008077DD">
        <w:t xml:space="preserve"> отказаться от включения Нагорного Карабаха в состав </w:t>
      </w:r>
      <w:r>
        <w:t>ДРА</w:t>
      </w:r>
      <w:r w:rsidRPr="008077DD">
        <w:t xml:space="preserve">. Так, на начальном этапе, пока первоначальное приветствие крестьян не сменилось негодованием ввиду начавшихся реквизиций и действий ЧК, приведших к арестам и задержаниям, а также депортации в АзССР военных и гражданских чиновников, буржуазное правительство Армении под давлением широких масс шло на примирение с Москвой. Тем более что сотрудничество с большевиками не могло сулить дашнакам тех территориальных приобретений, которые последним обещал Запад. Между тем </w:t>
      </w:r>
      <w:proofErr w:type="spellStart"/>
      <w:r w:rsidRPr="008077DD">
        <w:t>Кавбюро</w:t>
      </w:r>
      <w:proofErr w:type="spellEnd"/>
      <w:r>
        <w:t xml:space="preserve"> ЦК РКП(б)</w:t>
      </w:r>
      <w:r w:rsidRPr="008077DD">
        <w:t xml:space="preserve"> проявляло последовательность в сложившейся ситуации. 19 июня 1920 г</w:t>
      </w:r>
      <w:r>
        <w:t>.</w:t>
      </w:r>
      <w:r w:rsidRPr="008077DD">
        <w:t xml:space="preserve"> Г. Орджоникидзе в телеграмме к Г. Чичерину отметил, что Аз</w:t>
      </w:r>
      <w:r>
        <w:t>ССР</w:t>
      </w:r>
      <w:r w:rsidRPr="008077DD">
        <w:t xml:space="preserve"> претендует на Карабах, где провозглашена Советская власть. Коммунисты в ЦК РКП(б), такие как Н. </w:t>
      </w:r>
      <w:proofErr w:type="spellStart"/>
      <w:r w:rsidRPr="008077DD">
        <w:t>Нариманов</w:t>
      </w:r>
      <w:proofErr w:type="spellEnd"/>
      <w:r w:rsidRPr="008077DD">
        <w:t xml:space="preserve"> и А. Микоян, считали, что слабость Советской власти в сохранении Азербайджана в старых границах может привести к восстанию мусульман. Также размещение дашнаков в Карабахе подрывало революцию в Турции и создавало угрозу для Советов.</w:t>
      </w:r>
    </w:p>
    <w:p w14:paraId="29A4307A" w14:textId="7F2087B4" w:rsidR="008077DD" w:rsidRDefault="008077DD" w:rsidP="008077DD">
      <w:pPr>
        <w:spacing w:line="360" w:lineRule="auto"/>
        <w:ind w:firstLine="709"/>
        <w:jc w:val="both"/>
      </w:pPr>
      <w:r w:rsidRPr="008077DD">
        <w:t xml:space="preserve">После свержения власти дашнаков Армения трансформировалась из противника </w:t>
      </w:r>
      <w:r>
        <w:t>РСФСР</w:t>
      </w:r>
      <w:r w:rsidRPr="008077DD">
        <w:t xml:space="preserve"> в союзника большевистского режима. Это обстоятельство да</w:t>
      </w:r>
      <w:r>
        <w:t>вало</w:t>
      </w:r>
      <w:r w:rsidRPr="008077DD">
        <w:t xml:space="preserve"> возможность Москве оказать поддержку </w:t>
      </w:r>
      <w:proofErr w:type="spellStart"/>
      <w:r>
        <w:t>Эривани</w:t>
      </w:r>
      <w:proofErr w:type="spellEnd"/>
      <w:r w:rsidRPr="008077DD">
        <w:t xml:space="preserve"> в территориальном конфликте с Баку. 30 ноября 1920 г</w:t>
      </w:r>
      <w:r>
        <w:t>.</w:t>
      </w:r>
      <w:r w:rsidRPr="008077DD">
        <w:t xml:space="preserve"> Аз</w:t>
      </w:r>
      <w:r>
        <w:t>ССР</w:t>
      </w:r>
      <w:r w:rsidRPr="008077DD">
        <w:t xml:space="preserve"> признал Нагорный Карабах частью</w:t>
      </w:r>
      <w:r>
        <w:t xml:space="preserve"> </w:t>
      </w:r>
      <w:r w:rsidRPr="008077DD">
        <w:t>Арм</w:t>
      </w:r>
      <w:r>
        <w:t>ССР</w:t>
      </w:r>
      <w:r w:rsidRPr="008077DD">
        <w:t xml:space="preserve"> и отказался от своих территориальных претензий. Нагорному Карабаху было предоставлено право на самоопределение, что должно было продемонстрировать преимущества новой власти. Н. </w:t>
      </w:r>
      <w:proofErr w:type="spellStart"/>
      <w:r w:rsidRPr="008077DD">
        <w:t>Нариманов</w:t>
      </w:r>
      <w:proofErr w:type="spellEnd"/>
      <w:r w:rsidRPr="008077DD">
        <w:t xml:space="preserve"> полагал, что экономические интересы армян Карабаха преобладают над стремлением к отделению. В то же время Г. Орджоникидзе, осознавая угрозу со стороны Турции, настаивал на скорейшем разрешении вопроса о статусе Карабаха, чтобы избежать его захвата и защитить армянское население.</w:t>
      </w:r>
    </w:p>
    <w:p w14:paraId="7659B818" w14:textId="3D4F034A" w:rsidR="008077DD" w:rsidRPr="008077DD" w:rsidRDefault="008077DD" w:rsidP="008077DD">
      <w:pPr>
        <w:spacing w:line="360" w:lineRule="auto"/>
        <w:ind w:firstLine="709"/>
        <w:jc w:val="both"/>
      </w:pPr>
      <w:r>
        <w:t>Поэтому</w:t>
      </w:r>
      <w:r w:rsidRPr="008077DD">
        <w:t xml:space="preserve"> 5 июля 1921 г</w:t>
      </w:r>
      <w:r>
        <w:t>.</w:t>
      </w:r>
      <w:r w:rsidRPr="008077DD">
        <w:t xml:space="preserve"> на заседании Пленума </w:t>
      </w:r>
      <w:proofErr w:type="spellStart"/>
      <w:r w:rsidRPr="008077DD">
        <w:t>Кавбюро</w:t>
      </w:r>
      <w:proofErr w:type="spellEnd"/>
      <w:r w:rsidRPr="008077DD">
        <w:t xml:space="preserve">, по настоянию Г. Орджоникидзе и А. </w:t>
      </w:r>
      <w:proofErr w:type="spellStart"/>
      <w:r w:rsidRPr="008077DD">
        <w:t>Назаретяна</w:t>
      </w:r>
      <w:proofErr w:type="spellEnd"/>
      <w:r w:rsidRPr="008077DD">
        <w:t xml:space="preserve">, было принято решение сохранить Нагорный Карабах в составе АзССР. Это решение объяснялось необходимостью поддержания мирных отношений между мусульманами и армянами, а также существующими экономическими </w:t>
      </w:r>
      <w:r w:rsidRPr="008077DD">
        <w:lastRenderedPageBreak/>
        <w:t>связями между Верхним и Нижним Карабахом. Нагорному Карабаху была предоставлена значительная автономия, с административным центром в городе Шуша.</w:t>
      </w:r>
    </w:p>
    <w:p w14:paraId="26133708" w14:textId="77777777" w:rsidR="008077DD" w:rsidRPr="004334EF" w:rsidRDefault="008077DD" w:rsidP="008077DD">
      <w:pPr>
        <w:spacing w:line="360" w:lineRule="auto"/>
        <w:jc w:val="center"/>
      </w:pPr>
      <w:r w:rsidRPr="004334EF">
        <w:rPr>
          <w:b/>
          <w:bCs/>
        </w:rPr>
        <w:t>Источники и литература</w:t>
      </w:r>
      <w:r w:rsidRPr="004334EF">
        <w:t>:</w:t>
      </w:r>
    </w:p>
    <w:p w14:paraId="5FDAD89C" w14:textId="77777777" w:rsidR="008077DD" w:rsidRPr="008077DD" w:rsidRDefault="008077DD" w:rsidP="008077D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2038CF12" w14:textId="5A8C2474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Декреты, приказы Грузинского ревкома. Информационные телеграммы бюро печати Полномочного дипломатического представительства РСФСР в Грузии о положении в Закавказье. Телеграммы Наркоминдела Аз. ССР Министерству иностранных дел контрреволюционного меньшевистского правительства Грузии с протестом против перехода грузинскими войсковыми частями </w:t>
      </w:r>
      <w:proofErr w:type="spellStart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азербайджанско</w:t>
      </w:r>
      <w:proofErr w:type="spellEnd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-грузинской границы //</w:t>
      </w:r>
      <w:r w:rsidRPr="008077DD">
        <w:rPr>
          <w:rFonts w:ascii="Times New Roman" w:hAnsi="Times New Roman" w:cs="Times New Roman"/>
          <w:color w:val="000000" w:themeColor="text1"/>
        </w:rPr>
        <w:t xml:space="preserve"> ГИААР. Ф. 28. Оп. 1. Д. 38.</w:t>
      </w:r>
      <w:r w:rsidR="000F6B46">
        <w:rPr>
          <w:rFonts w:ascii="Times New Roman" w:hAnsi="Times New Roman" w:cs="Times New Roman"/>
          <w:color w:val="000000" w:themeColor="text1"/>
        </w:rPr>
        <w:t xml:space="preserve"> – 211 л.</w:t>
      </w:r>
    </w:p>
    <w:p w14:paraId="6A35F908" w14:textId="37124151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Информационные сводки консула Аз. ССР в Батуми о событиях в Турции // </w:t>
      </w:r>
      <w:r w:rsidRPr="008077DD">
        <w:rPr>
          <w:rFonts w:ascii="Times New Roman" w:hAnsi="Times New Roman" w:cs="Times New Roman"/>
          <w:color w:val="000000" w:themeColor="text1"/>
        </w:rPr>
        <w:t>ГИААР. Ф. 28. Оп. 1. Д. 192.</w:t>
      </w:r>
      <w:r w:rsidR="000F6B46">
        <w:rPr>
          <w:rFonts w:ascii="Times New Roman" w:hAnsi="Times New Roman" w:cs="Times New Roman"/>
          <w:color w:val="000000" w:themeColor="text1"/>
        </w:rPr>
        <w:t xml:space="preserve"> – 15 л.</w:t>
      </w:r>
    </w:p>
    <w:p w14:paraId="68B666E9" w14:textId="2FFC2539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Копия договора заключённого между Правительствами РСФСР и Аз. ССР о военно-экономическом союзе. Циркулярное разъяснение Наркоминдела РСФСР о правах и обязанностях иностранцев. Копия соглашения </w:t>
      </w:r>
      <w:proofErr w:type="spellStart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Наркомвнешторга</w:t>
      </w:r>
      <w:proofErr w:type="spellEnd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РСФСР с </w:t>
      </w:r>
      <w:proofErr w:type="spellStart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Наркомвнешторгом</w:t>
      </w:r>
      <w:proofErr w:type="spellEnd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Аз. ССР о единстве выступлениях на международных рынках. Смета на содержание консульства Аз</w:t>
      </w:r>
      <w:r w:rsidRPr="000F6B4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ССР за границей // </w:t>
      </w:r>
      <w:r w:rsidRPr="008077DD">
        <w:rPr>
          <w:rFonts w:ascii="Times New Roman" w:hAnsi="Times New Roman" w:cs="Times New Roman"/>
          <w:color w:val="000000" w:themeColor="text1"/>
        </w:rPr>
        <w:t>ГИААР. Ф. 28. Оп. 1. Д. 55.</w:t>
      </w:r>
      <w:r w:rsidR="000F6B46">
        <w:rPr>
          <w:rFonts w:ascii="Times New Roman" w:hAnsi="Times New Roman" w:cs="Times New Roman"/>
          <w:color w:val="000000" w:themeColor="text1"/>
        </w:rPr>
        <w:t xml:space="preserve"> – 186 л.</w:t>
      </w:r>
    </w:p>
    <w:p w14:paraId="3F93EC86" w14:textId="2B934719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Копия договора заключенного между Правительствами РСФСР и Турции. Доклад полномочного представительства Аз. ССР в Гр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ССР о программе деятельности представительства // </w:t>
      </w:r>
      <w:r w:rsidRPr="008077DD">
        <w:rPr>
          <w:rFonts w:ascii="Times New Roman" w:hAnsi="Times New Roman" w:cs="Times New Roman"/>
          <w:color w:val="000000" w:themeColor="text1"/>
        </w:rPr>
        <w:t>ГИААР. Ф. 28. Оп. 1. Д. 66.</w:t>
      </w:r>
      <w:r w:rsidR="000F6B46">
        <w:rPr>
          <w:rFonts w:ascii="Times New Roman" w:hAnsi="Times New Roman" w:cs="Times New Roman"/>
          <w:color w:val="000000" w:themeColor="text1"/>
        </w:rPr>
        <w:t xml:space="preserve"> – 34 л.</w:t>
      </w:r>
    </w:p>
    <w:p w14:paraId="0073926B" w14:textId="23E185E5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Копия договора заключенного между Правительствами РСФСР и Турции. Стенографическая запись бесед между М. В. Фрунзе и президентом Турции в Анкаре. Доклады полномочного дипломатического представителя Аз. ССР в Турции Наркоминдела Аз. ССР о положении в Турции // </w:t>
      </w:r>
      <w:r w:rsidRPr="008077DD">
        <w:rPr>
          <w:rFonts w:ascii="Times New Roman" w:hAnsi="Times New Roman" w:cs="Times New Roman"/>
          <w:color w:val="000000" w:themeColor="text1"/>
        </w:rPr>
        <w:t>ГИААР. Ф. 28. Оп. 1. Д. 68.</w:t>
      </w:r>
      <w:r w:rsidR="000F6B46">
        <w:rPr>
          <w:rFonts w:ascii="Times New Roman" w:hAnsi="Times New Roman" w:cs="Times New Roman"/>
          <w:color w:val="000000" w:themeColor="text1"/>
        </w:rPr>
        <w:t xml:space="preserve"> – 118 л.</w:t>
      </w:r>
    </w:p>
    <w:p w14:paraId="1BC88CDC" w14:textId="3AD0BE5E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Переписка Наркоминдела Аз. ССР с Министерством иностранных дел контрреволюционного </w:t>
      </w:r>
      <w:proofErr w:type="spellStart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дашнакского</w:t>
      </w:r>
      <w:proofErr w:type="spellEnd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правительства Армении. Доклад бывшего дипломатического представителя контрреволюционного </w:t>
      </w:r>
      <w:proofErr w:type="spellStart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мусаватского</w:t>
      </w:r>
      <w:proofErr w:type="spellEnd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правительства Азербайджана в Армении в </w:t>
      </w:r>
      <w:proofErr w:type="spellStart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Наркоминделе</w:t>
      </w:r>
      <w:proofErr w:type="spellEnd"/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Аз. ССР // </w:t>
      </w:r>
      <w:r w:rsidRPr="008077DD">
        <w:rPr>
          <w:rFonts w:ascii="Times New Roman" w:hAnsi="Times New Roman" w:cs="Times New Roman"/>
          <w:color w:val="000000" w:themeColor="text1"/>
        </w:rPr>
        <w:t>ГИААР. Ф. 28. Оп. 1. Д. 102.</w:t>
      </w:r>
      <w:r w:rsidR="000F6B46">
        <w:rPr>
          <w:rFonts w:ascii="Times New Roman" w:hAnsi="Times New Roman" w:cs="Times New Roman"/>
          <w:color w:val="000000" w:themeColor="text1"/>
        </w:rPr>
        <w:t xml:space="preserve"> – 42 л.</w:t>
      </w:r>
    </w:p>
    <w:p w14:paraId="5A671D4C" w14:textId="4EF50C1B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>Постановление конференции по урегулированию внутренних границ Закавказских Советских Социалистических Республик относительно пограничной линии между Аз. ССР и Гр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8077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ССР. Доклад информационного отдела Наркоминдела Аз. ССР «О спорных кавказских территориях, на которые имеют права самоопределяющиеся азербайджанцы» (со статистическими сведениями). Объяснительная записка к проекту нового административного деления Аз. ССР // </w:t>
      </w:r>
      <w:r w:rsidRPr="008077DD">
        <w:rPr>
          <w:rFonts w:ascii="Times New Roman" w:hAnsi="Times New Roman" w:cs="Times New Roman"/>
          <w:color w:val="000000" w:themeColor="text1"/>
        </w:rPr>
        <w:t>ГИААР. Ф. 28. Оп. 1. Д. 42.</w:t>
      </w:r>
      <w:r w:rsidR="000F6B46">
        <w:rPr>
          <w:rFonts w:ascii="Times New Roman" w:hAnsi="Times New Roman" w:cs="Times New Roman"/>
          <w:color w:val="000000" w:themeColor="text1"/>
        </w:rPr>
        <w:t xml:space="preserve"> -92 л.</w:t>
      </w:r>
    </w:p>
    <w:p w14:paraId="00816AD9" w14:textId="77777777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077DD">
        <w:rPr>
          <w:rFonts w:ascii="Times New Roman" w:hAnsi="Times New Roman" w:cs="Times New Roman"/>
          <w:color w:val="000000" w:themeColor="text1"/>
        </w:rPr>
        <w:lastRenderedPageBreak/>
        <w:t>Топчибаши</w:t>
      </w:r>
      <w:proofErr w:type="spellEnd"/>
      <w:r w:rsidRPr="008077DD">
        <w:rPr>
          <w:rFonts w:ascii="Times New Roman" w:hAnsi="Times New Roman" w:cs="Times New Roman"/>
          <w:color w:val="000000" w:themeColor="text1"/>
        </w:rPr>
        <w:t xml:space="preserve"> А. М. Парижский архив 1919 – 1940 гг. Кн. 1.: 1919 – 1921. М.: Художественная литература, 2016. – 567 с.</w:t>
      </w:r>
    </w:p>
    <w:p w14:paraId="3A608949" w14:textId="77777777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</w:rPr>
        <w:t xml:space="preserve">Ллойд-Джордж Д. Правда о мирных договорах. Т. 1. / Под ред. В. Г. </w:t>
      </w:r>
      <w:proofErr w:type="spellStart"/>
      <w:r w:rsidRPr="008077DD">
        <w:rPr>
          <w:rFonts w:ascii="Times New Roman" w:hAnsi="Times New Roman" w:cs="Times New Roman"/>
          <w:color w:val="000000" w:themeColor="text1"/>
        </w:rPr>
        <w:t>Трухановского</w:t>
      </w:r>
      <w:proofErr w:type="spellEnd"/>
      <w:r w:rsidRPr="008077DD">
        <w:rPr>
          <w:rFonts w:ascii="Times New Roman" w:hAnsi="Times New Roman" w:cs="Times New Roman"/>
          <w:color w:val="000000" w:themeColor="text1"/>
        </w:rPr>
        <w:t>. –  М.: издательство иностранной литературы, 1957. – 655 с.</w:t>
      </w:r>
    </w:p>
    <w:p w14:paraId="78E412C7" w14:textId="77777777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077DD">
        <w:rPr>
          <w:rFonts w:ascii="Times New Roman" w:hAnsi="Times New Roman" w:cs="Times New Roman"/>
          <w:color w:val="000000" w:themeColor="text1"/>
        </w:rPr>
        <w:t>Кадищев</w:t>
      </w:r>
      <w:proofErr w:type="spellEnd"/>
      <w:r w:rsidRPr="008077DD">
        <w:rPr>
          <w:rFonts w:ascii="Times New Roman" w:hAnsi="Times New Roman" w:cs="Times New Roman"/>
          <w:color w:val="000000" w:themeColor="text1"/>
        </w:rPr>
        <w:t xml:space="preserve"> А. Б. Интервенция и гражданская война в Закавказье. – М.: Воениздат, 1960. – 510 с.</w:t>
      </w:r>
    </w:p>
    <w:p w14:paraId="2A744A30" w14:textId="77777777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8077DD">
        <w:rPr>
          <w:rFonts w:ascii="Times New Roman" w:hAnsi="Times New Roman" w:cs="Times New Roman"/>
          <w:color w:val="000000" w:themeColor="text1"/>
        </w:rPr>
        <w:t>Хейфец А. Н. Советская Россия и сопредельные страны Востока. – М.: Наука, 1964. – 471 с.</w:t>
      </w:r>
    </w:p>
    <w:p w14:paraId="78F85ACE" w14:textId="77777777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Style w:val="s1mrcssattr"/>
          <w:rFonts w:ascii="Times New Roman" w:hAnsi="Times New Roman" w:cs="Times New Roman"/>
          <w:color w:val="000000" w:themeColor="text1"/>
          <w:lang w:val="en-US"/>
        </w:rPr>
      </w:pPr>
      <w:r w:rsidRPr="008077DD">
        <w:rPr>
          <w:rStyle w:val="s3mrcssattr"/>
          <w:rFonts w:ascii="Times New Roman" w:hAnsi="Times New Roman" w:cs="Times New Roman"/>
          <w:color w:val="000000" w:themeColor="text1"/>
          <w:lang w:val="en-US"/>
        </w:rPr>
        <w:t xml:space="preserve">Hovannisian R. G. </w:t>
      </w:r>
      <w:r w:rsidRPr="008077DD">
        <w:rPr>
          <w:rStyle w:val="s1mrcssattr"/>
          <w:rFonts w:ascii="Times New Roman" w:hAnsi="Times New Roman" w:cs="Times New Roman"/>
          <w:color w:val="000000" w:themeColor="text1"/>
          <w:lang w:val="en-US"/>
        </w:rPr>
        <w:t>The Republic of Armenia, Vol. I: The First Year, 1918 – 1919. –  Berkeley, Los Angeles, London: University of California Press, 1971. – 476 p.</w:t>
      </w:r>
    </w:p>
    <w:p w14:paraId="74673980" w14:textId="33E490F9" w:rsidR="008077DD" w:rsidRPr="008077DD" w:rsidRDefault="008077DD" w:rsidP="008077D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077D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Saparov</w:t>
      </w:r>
      <w:proofErr w:type="spellEnd"/>
      <w:r w:rsidRPr="008077D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A. Why autonomy? The making of Nagorno-Karabakh autonomous region, 1918–1925 // Europe-Asia studies. –</w:t>
      </w:r>
      <w:r w:rsidRPr="008077DD">
        <w:rPr>
          <w:rStyle w:val="s1mrcssattr"/>
          <w:rFonts w:ascii="Times New Roman" w:hAnsi="Times New Roman" w:cs="Times New Roman"/>
          <w:color w:val="000000" w:themeColor="text1"/>
          <w:lang w:val="en-US"/>
        </w:rPr>
        <w:t xml:space="preserve"> 2012. – Vol 64 – № 2. P. 281-323.</w:t>
      </w:r>
    </w:p>
    <w:sectPr w:rsidR="008077DD" w:rsidRPr="0080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A0F98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477D0"/>
    <w:multiLevelType w:val="hybridMultilevel"/>
    <w:tmpl w:val="8B3A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508A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6B4034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56E23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3A4EF0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B4B47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9212AB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F91992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DD"/>
    <w:rsid w:val="000F6B46"/>
    <w:rsid w:val="00123B76"/>
    <w:rsid w:val="008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17658"/>
  <w15:chartTrackingRefBased/>
  <w15:docId w15:val="{C5D649D2-3603-0D4A-9AA5-CAB1C99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D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mrcssattr">
    <w:name w:val="s1_mr_css_attr"/>
    <w:basedOn w:val="a0"/>
    <w:rsid w:val="008077DD"/>
  </w:style>
  <w:style w:type="paragraph" w:styleId="a3">
    <w:name w:val="List Paragraph"/>
    <w:basedOn w:val="a"/>
    <w:uiPriority w:val="34"/>
    <w:qFormat/>
    <w:rsid w:val="008077D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3mrcssattr">
    <w:name w:val="s3_mr_css_attr"/>
    <w:basedOn w:val="a0"/>
    <w:rsid w:val="008077DD"/>
  </w:style>
  <w:style w:type="paragraph" w:customStyle="1" w:styleId="a4">
    <w:name w:val="Тезисы"/>
    <w:basedOn w:val="a"/>
    <w:qFormat/>
    <w:rsid w:val="008077DD"/>
    <w:pPr>
      <w:ind w:firstLine="709"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1039</Words>
  <Characters>6892</Characters>
  <Application>Microsoft Office Word</Application>
  <DocSecurity>0</DocSecurity>
  <Lines>116</Lines>
  <Paragraphs>30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Dzhavid.alizade.96@mail.ru</dc:creator>
  <cp:keywords/>
  <dc:description/>
  <cp:lastModifiedBy>Dzhavid.alizade.96@mail.ru</cp:lastModifiedBy>
  <cp:revision>3</cp:revision>
  <dcterms:created xsi:type="dcterms:W3CDTF">2026-03-04T09:24:00Z</dcterms:created>
  <dcterms:modified xsi:type="dcterms:W3CDTF">2026-03-08T21:03:00Z</dcterms:modified>
</cp:coreProperties>
</file>