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DB5" w:rsidRPr="00616A53" w:rsidRDefault="00000000" w:rsidP="00616A53">
      <w:pPr>
        <w:pStyle w:val="1"/>
        <w:keepNext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>Формирование немецкой общины в Юго-Западной Африке в контексте колониальной политики Германской Империи (1889 - 1915)</w:t>
      </w:r>
    </w:p>
    <w:p w:rsidR="00223DB5" w:rsidRPr="002632DF" w:rsidRDefault="00000000" w:rsidP="002632DF">
      <w:pPr>
        <w:pStyle w:val="2"/>
        <w:keepNext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Журавлев Петр Андреевич</w:t>
      </w:r>
    </w:p>
    <w:p w:rsidR="00223DB5" w:rsidRPr="002632DF" w:rsidRDefault="00000000" w:rsidP="002632DF">
      <w:pPr>
        <w:pStyle w:val="2"/>
        <w:keepNext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 2 курса бакалавриата</w:t>
      </w:r>
    </w:p>
    <w:p w:rsidR="00223DB5" w:rsidRPr="002632DF" w:rsidRDefault="00000000" w:rsidP="002632DF">
      <w:pPr>
        <w:pStyle w:val="2"/>
        <w:keepNext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Московский государственный университет им. М. В. Ломоносова,</w:t>
      </w:r>
    </w:p>
    <w:p w:rsidR="00223DB5" w:rsidRPr="002632DF" w:rsidRDefault="00000000" w:rsidP="002632DF">
      <w:pPr>
        <w:pStyle w:val="2"/>
        <w:keepNext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Институт стран Азии и Африки, Москва, Россия</w:t>
      </w:r>
    </w:p>
    <w:p w:rsidR="00223DB5" w:rsidRPr="002632DF" w:rsidRDefault="00BC04F6" w:rsidP="002632DF">
      <w:pPr>
        <w:pStyle w:val="2"/>
        <w:keepNext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e</w:t>
      </w: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</w:t>
      </w: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mail</w:t>
      </w:r>
      <w:r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: </w:t>
      </w:r>
      <w:proofErr w:type="spellStart"/>
      <w:r w:rsidR="00000000"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regnuvm</w:t>
      </w:r>
      <w:proofErr w:type="spellEnd"/>
      <w:r w:rsidR="00000000"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@</w:t>
      </w:r>
      <w:proofErr w:type="spellStart"/>
      <w:r w:rsidR="00000000"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gmail</w:t>
      </w:r>
      <w:proofErr w:type="spellEnd"/>
      <w:r w:rsidR="00000000"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.</w:t>
      </w:r>
      <w:r w:rsidR="00000000" w:rsidRPr="002632D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com</w:t>
      </w:r>
    </w:p>
    <w:p w:rsidR="00223DB5" w:rsidRPr="00BC04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>После достижения Намибией независимости в 1990 году от Южно-Африканской Республики лейтмотивом некоторых рекламных проспектов была фраза: «Приезжайте в Юго-Западную Африку/Намибию - там до сих пор всё так по</w:t>
      </w:r>
      <w:r w:rsidR="002632D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немецки!» - и это уже спустя почти 80 лет после окончания германского колониального господства в стране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3DB5" w:rsidRPr="00616A5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В существующей как Западной, так и отечественной историографии существует несправедливый пробел, затрагивающий историю немецкой поселенческой общины в Намибии/Юго-Западной Африке. Этот факт вызван главным образом тем, что большинство исследователей в своих работах традиционно обращают внимание скорее на особенности германских методов управления колонией и сопровождающую их идеологию, главная задача которой заключается в том, чтобы обосновать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1) заселение колонии этническими немцами,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2) репрессии в отношении местного коренного населения,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3) ряд юридических мер, направленных на установление режима «общества расовых привилегий»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(нем. «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Rassische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Priviliegengesellschaft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»)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[5] 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примера работ, в центре которых находится исследование данных научных проблем, можно привести работу немецкого историка Юргена </w:t>
      </w:r>
      <w:proofErr w:type="spellStart"/>
      <w:r w:rsidRPr="00616A53">
        <w:rPr>
          <w:rFonts w:ascii="Times New Roman" w:hAnsi="Times New Roman" w:cs="Times New Roman"/>
          <w:sz w:val="24"/>
          <w:szCs w:val="24"/>
          <w:lang w:val="ru-RU"/>
        </w:rPr>
        <w:t>Циммерера</w:t>
      </w:r>
      <w:proofErr w:type="spell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616A53">
        <w:rPr>
          <w:rFonts w:ascii="Times New Roman" w:hAnsi="Times New Roman" w:cs="Times New Roman"/>
          <w:i/>
          <w:sz w:val="24"/>
          <w:szCs w:val="24"/>
        </w:rPr>
        <w:t>Deutsche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Herrschaft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ü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ber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Afrikaner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Staatlicher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Machtanspruch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und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Wirklichkeit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in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kolonialen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Namibia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, опубликованной в 2001 году. Возможно, единственным отечественным историком, который занимается данной проблематикой является А. С. </w:t>
      </w:r>
      <w:proofErr w:type="spellStart"/>
      <w:r w:rsidRPr="00616A53">
        <w:rPr>
          <w:rFonts w:ascii="Times New Roman" w:hAnsi="Times New Roman" w:cs="Times New Roman"/>
          <w:sz w:val="24"/>
          <w:szCs w:val="24"/>
          <w:lang w:val="ru-RU"/>
        </w:rPr>
        <w:t>Балезин</w:t>
      </w:r>
      <w:proofErr w:type="spell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- автор известной работы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«Колонизаторы среди дикарей?»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, глубокого исследования немецкой общины в ЮЗА/Намибии.</w:t>
      </w:r>
    </w:p>
    <w:p w:rsidR="00223DB5" w:rsidRPr="00616A5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В данной работе изучается и анализ взаимодействия двух взаимосвязанных процессов, а именно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1) формирование немецкой поселенческой общины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2) государственной политики Германии в отношении Юго-Западной Африки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. Зачастую описанные выше явления рассматриваются как существующие отдельно друг от друга, действующие исключительно параллельно, но никак не совместно. Научная новизна исследования состоит в том, что в нём происходит интегральный анализ представленных выше факторов. Другой целью исследования, является попытка ответить на вопрос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«Почему немецкая община сохранилась только в Намибии, а в других германских колониях в Африке практически полностью исчезла?»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истории немецкой общины и её взаимодействия с государственной властью имеет не только </w:t>
      </w:r>
      <w:proofErr w:type="spellStart"/>
      <w:r w:rsidRPr="00616A53">
        <w:rPr>
          <w:rFonts w:ascii="Times New Roman" w:hAnsi="Times New Roman" w:cs="Times New Roman"/>
          <w:sz w:val="24"/>
          <w:szCs w:val="24"/>
          <w:lang w:val="ru-RU"/>
        </w:rPr>
        <w:t>узкорегиональное</w:t>
      </w:r>
      <w:proofErr w:type="spell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значение. Оно затрагивает проблемы, общие для всех белых поселенцев как в Африке, так и во всём остальном мире. Предполагается, что проблематика данной работы может иметь отношение и к такому явлению как, например, поселения африканеров в Аргентине, немцев - в Аргентине, англичан - в Новой Зеландии. Анализ формирования и эволюции отдельных групп в рамках многонациональных и многоразовых обществ должен способствовать пониманию общности исторических судеб.</w:t>
      </w:r>
    </w:p>
    <w:p w:rsidR="00223DB5" w:rsidRPr="00616A5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Источниковой базой исследования процесса формирования общины выступили архивные публикации газеты </w:t>
      </w:r>
      <w:r w:rsidRPr="00616A53">
        <w:rPr>
          <w:rFonts w:ascii="Times New Roman" w:hAnsi="Times New Roman" w:cs="Times New Roman"/>
          <w:sz w:val="24"/>
          <w:szCs w:val="24"/>
        </w:rPr>
        <w:t>Allgemeine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sz w:val="24"/>
          <w:szCs w:val="24"/>
        </w:rPr>
        <w:t>Zeitung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[6</w:t>
      </w:r>
      <w:r w:rsidR="00460684" w:rsidRPr="0066051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, основанной в 1916 году, а также физические и политические карты Юго-Западной Африки конца </w:t>
      </w:r>
      <w:r w:rsidRPr="00616A53">
        <w:rPr>
          <w:rFonts w:ascii="Times New Roman" w:hAnsi="Times New Roman" w:cs="Times New Roman"/>
          <w:sz w:val="24"/>
          <w:szCs w:val="24"/>
        </w:rPr>
        <w:t>XIX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616A53">
        <w:rPr>
          <w:rFonts w:ascii="Times New Roman" w:hAnsi="Times New Roman" w:cs="Times New Roman"/>
          <w:sz w:val="24"/>
          <w:szCs w:val="24"/>
        </w:rPr>
        <w:t>XX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века. Помимо этого, использовалась библиография на языках: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английском (</w:t>
      </w:r>
      <w:r w:rsidRPr="00616A53">
        <w:rPr>
          <w:rFonts w:ascii="Times New Roman" w:hAnsi="Times New Roman" w:cs="Times New Roman"/>
          <w:i/>
          <w:sz w:val="24"/>
          <w:szCs w:val="24"/>
        </w:rPr>
        <w:t>Kalb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M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., </w:t>
      </w:r>
      <w:r w:rsidRPr="00616A53">
        <w:rPr>
          <w:rFonts w:ascii="Times New Roman" w:hAnsi="Times New Roman" w:cs="Times New Roman"/>
          <w:i/>
          <w:sz w:val="24"/>
          <w:szCs w:val="24"/>
        </w:rPr>
        <w:t>Du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Pisani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A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.)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, африкаанс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616A53">
        <w:rPr>
          <w:rFonts w:ascii="Times New Roman" w:hAnsi="Times New Roman" w:cs="Times New Roman"/>
          <w:i/>
          <w:sz w:val="24"/>
          <w:szCs w:val="24"/>
        </w:rPr>
        <w:t>Pool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i/>
          <w:sz w:val="24"/>
          <w:szCs w:val="24"/>
        </w:rPr>
        <w:t>G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.)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и немецком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Zimmerer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616A53">
        <w:rPr>
          <w:rFonts w:ascii="Times New Roman" w:hAnsi="Times New Roman" w:cs="Times New Roman"/>
          <w:i/>
          <w:sz w:val="24"/>
          <w:szCs w:val="24"/>
        </w:rPr>
        <w:t>J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.)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Дальнейшее изучение материалов 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проводилось при использовании системного, структурного и типологического методов исторического исследования.</w:t>
      </w:r>
    </w:p>
    <w:p w:rsidR="002632D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>Дорогу для создания в ЮЗА немецкой поселенческой общины заложили немецкие миссионеры в начале 1840-х годов. Они сформировали все условия для дальнейших контактов, интенсификация которых началась после 1889 года - года, когда на службу в ЮЗА прибыл Курт фон Франсуа, (позднее - губернатор колонии) который сыграл большую роль в становлении города Виндхука как административного центра колонии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. Именно он составил первый план колонизации региона своими соотечественниками </w:t>
      </w:r>
      <w:r w:rsidR="00460684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немцами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. Своеобразным водоразделом в контексте становления немецкой общины стали Великие восстания гереро и </w:t>
      </w:r>
      <w:proofErr w:type="spellStart"/>
      <w:r w:rsidRPr="00616A53">
        <w:rPr>
          <w:rFonts w:ascii="Times New Roman" w:hAnsi="Times New Roman" w:cs="Times New Roman"/>
          <w:sz w:val="24"/>
          <w:szCs w:val="24"/>
          <w:lang w:val="ru-RU"/>
        </w:rPr>
        <w:t>нама</w:t>
      </w:r>
      <w:proofErr w:type="spell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в 1904-1907 гг.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, итоги которых привели к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1) драматическому обострению отношений между немцами и местным коренным населением, 2) окончательному оформлению системы «принудительного труда» </w:t>
      </w:r>
      <w:r w:rsidRPr="00616A53">
        <w:rPr>
          <w:rFonts w:ascii="Times New Roman" w:hAnsi="Times New Roman" w:cs="Times New Roman"/>
          <w:b/>
          <w:i/>
          <w:sz w:val="24"/>
          <w:szCs w:val="24"/>
          <w:lang w:val="ru-RU"/>
        </w:rPr>
        <w:t>(англ. «</w:t>
      </w:r>
      <w:r w:rsidRPr="00616A53">
        <w:rPr>
          <w:rFonts w:ascii="Times New Roman" w:hAnsi="Times New Roman" w:cs="Times New Roman"/>
          <w:b/>
          <w:i/>
          <w:sz w:val="24"/>
          <w:szCs w:val="24"/>
        </w:rPr>
        <w:t>Native</w:t>
      </w:r>
      <w:r w:rsidRPr="00616A5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616A53">
        <w:rPr>
          <w:rFonts w:ascii="Times New Roman" w:hAnsi="Times New Roman" w:cs="Times New Roman"/>
          <w:b/>
          <w:i/>
          <w:sz w:val="24"/>
          <w:szCs w:val="24"/>
        </w:rPr>
        <w:t>Ordnances</w:t>
      </w:r>
      <w:r w:rsidRPr="00616A53">
        <w:rPr>
          <w:rFonts w:ascii="Times New Roman" w:hAnsi="Times New Roman" w:cs="Times New Roman"/>
          <w:b/>
          <w:i/>
          <w:sz w:val="24"/>
          <w:szCs w:val="24"/>
          <w:lang w:val="ru-RU"/>
        </w:rPr>
        <w:t>»)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[2], 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который использовался немцами </w:t>
      </w:r>
      <w:r w:rsidRPr="00616A53">
        <w:rPr>
          <w:rFonts w:ascii="Times New Roman" w:hAnsi="Times New Roman" w:cs="Times New Roman"/>
          <w:sz w:val="24"/>
          <w:szCs w:val="24"/>
        </w:rPr>
        <w:t>de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A53">
        <w:rPr>
          <w:rFonts w:ascii="Times New Roman" w:hAnsi="Times New Roman" w:cs="Times New Roman"/>
          <w:sz w:val="24"/>
          <w:szCs w:val="24"/>
        </w:rPr>
        <w:t>jure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в целях формирования в колонии определенной системы «расовой иерархии», в соответствии с которой немцы находились на вершине порядка, а </w:t>
      </w:r>
      <w:r w:rsidRPr="00616A53">
        <w:rPr>
          <w:rFonts w:ascii="Times New Roman" w:hAnsi="Times New Roman" w:cs="Times New Roman"/>
          <w:sz w:val="24"/>
          <w:szCs w:val="24"/>
        </w:rPr>
        <w:t>de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A53">
        <w:rPr>
          <w:rFonts w:ascii="Times New Roman" w:hAnsi="Times New Roman" w:cs="Times New Roman"/>
          <w:sz w:val="24"/>
          <w:szCs w:val="24"/>
        </w:rPr>
        <w:t>facto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- формирования комплекса мер, направленных на истребление автохтонного населения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23DB5" w:rsidRDefault="000000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Иным важным последствием Великих восстаний стала активизация усилий Германского министерства колоний по созданию в Юго-Западной Африке «подчиненной государству административной утопии»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(нем. «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Herrschaftsutopie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»)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[2], 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основным условием реализации которой являлось заселение ЮЗА немцами и хозяйственное освоение территорий, до этого считавшихся собственностью «туземцев» </w:t>
      </w:r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(нем. </w:t>
      </w:r>
      <w:proofErr w:type="spellStart"/>
      <w:r w:rsidRPr="00616A53">
        <w:rPr>
          <w:rFonts w:ascii="Times New Roman" w:hAnsi="Times New Roman" w:cs="Times New Roman"/>
          <w:i/>
          <w:sz w:val="24"/>
          <w:szCs w:val="24"/>
        </w:rPr>
        <w:t>Eingeborene</w:t>
      </w:r>
      <w:proofErr w:type="spellEnd"/>
      <w:r w:rsidRPr="00616A53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4606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[3]. 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>Таким образом, государственная политика освоения территории колонии стала неразрывно связана со становлением и дальнейшим развитием немецкой поселенческой общины</w:t>
      </w:r>
      <w:r w:rsidR="00460684" w:rsidRPr="00460684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. Факт сохранения, расширения и укрепления немецкой общины после лишения Германии колоний был связан главным образом с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1) вовлечения ЮЗА/Намибии в политическую сферу ЮАС/ЮАР и проведением </w:t>
      </w:r>
      <w:proofErr w:type="spellStart"/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пронемецкого</w:t>
      </w:r>
      <w:proofErr w:type="spellEnd"/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, или антианглийского курса, проводимого рядом правительств этой страны после 1915 года</w:t>
      </w:r>
      <w:r w:rsidR="00660519" w:rsidRPr="006605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[6]</w:t>
      </w:r>
      <w:r w:rsidR="00660519">
        <w:rPr>
          <w:rFonts w:ascii="Times New Roman" w:hAnsi="Times New Roman" w:cs="Times New Roman"/>
          <w:b/>
          <w:sz w:val="24"/>
          <w:szCs w:val="24"/>
        </w:rPr>
        <w:t>,</w:t>
      </w:r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а также с 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2) осознанием намибийскими немцами себя как субэтноса германской нации</w:t>
      </w:r>
      <w:r w:rsidR="00460684" w:rsidRPr="004606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[1]</w:t>
      </w:r>
      <w:r w:rsidRPr="00616A5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C04F6" w:rsidRPr="00616A53" w:rsidRDefault="00BC04F6" w:rsidP="00BC04F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Источники и литература</w:t>
      </w:r>
    </w:p>
    <w:p w:rsidR="00223DB5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16A53">
        <w:rPr>
          <w:rFonts w:ascii="Times New Roman" w:hAnsi="Times New Roman" w:cs="Times New Roman"/>
          <w:sz w:val="24"/>
          <w:szCs w:val="24"/>
          <w:lang w:val="ru-RU"/>
        </w:rPr>
        <w:t>Балезин</w:t>
      </w:r>
      <w:proofErr w:type="spell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А.С. Цивилизаторы в стране </w:t>
      </w:r>
      <w:proofErr w:type="gramStart"/>
      <w:r w:rsidRPr="00616A53">
        <w:rPr>
          <w:rFonts w:ascii="Times New Roman" w:hAnsi="Times New Roman" w:cs="Times New Roman"/>
          <w:sz w:val="24"/>
          <w:szCs w:val="24"/>
          <w:lang w:val="ru-RU"/>
        </w:rPr>
        <w:t>дикарей?:</w:t>
      </w:r>
      <w:proofErr w:type="gramEnd"/>
      <w:r w:rsidRPr="00616A53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и эволюция немецкой поселенческой общины в Юго-Западной Африке/Намибии, 1814-1990 отв. ред. </w:t>
      </w:r>
      <w:r w:rsidRPr="00BC04F6">
        <w:rPr>
          <w:rFonts w:ascii="Times New Roman" w:hAnsi="Times New Roman" w:cs="Times New Roman"/>
          <w:sz w:val="24"/>
          <w:szCs w:val="24"/>
          <w:lang w:val="ru-RU"/>
        </w:rPr>
        <w:t>В. П. Городнов. М.: ИВИ РАН, 1996, 282 с</w:t>
      </w:r>
    </w:p>
    <w:p w:rsidR="002632DF" w:rsidRPr="002632DF" w:rsidRDefault="002632DF" w:rsidP="002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 Pisani A. Namibia: The Politics of change //Africanus. – 1980. – Т. 10. – №. 1. – С. 22-35.</w:t>
      </w:r>
    </w:p>
    <w:p w:rsidR="002632DF" w:rsidRPr="00616A53" w:rsidRDefault="002632DF" w:rsidP="002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A53">
        <w:rPr>
          <w:rFonts w:ascii="Times New Roman" w:hAnsi="Times New Roman" w:cs="Times New Roman"/>
          <w:sz w:val="24"/>
          <w:szCs w:val="24"/>
        </w:rPr>
        <w:t xml:space="preserve">Kalb M. Environing Empire: Nature, Infrastructure and the Making of German Southwest Africa. – </w:t>
      </w:r>
      <w:proofErr w:type="spellStart"/>
      <w:r w:rsidRPr="00616A53">
        <w:rPr>
          <w:rFonts w:ascii="Times New Roman" w:hAnsi="Times New Roman" w:cs="Times New Roman"/>
          <w:sz w:val="24"/>
          <w:szCs w:val="24"/>
        </w:rPr>
        <w:t>Berghahn</w:t>
      </w:r>
      <w:proofErr w:type="spellEnd"/>
      <w:r w:rsidRPr="00616A53">
        <w:rPr>
          <w:rFonts w:ascii="Times New Roman" w:hAnsi="Times New Roman" w:cs="Times New Roman"/>
          <w:sz w:val="24"/>
          <w:szCs w:val="24"/>
        </w:rPr>
        <w:t xml:space="preserve"> Books, 2022. – Т. 23.</w:t>
      </w:r>
    </w:p>
    <w:p w:rsidR="002632DF" w:rsidRPr="00616A53" w:rsidRDefault="002632DF" w:rsidP="002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A53">
        <w:rPr>
          <w:rFonts w:ascii="Times New Roman" w:hAnsi="Times New Roman" w:cs="Times New Roman"/>
          <w:sz w:val="24"/>
          <w:szCs w:val="24"/>
        </w:rPr>
        <w:t>Pool G. Die Herero-</w:t>
      </w:r>
      <w:proofErr w:type="spellStart"/>
      <w:r w:rsidRPr="00616A53">
        <w:rPr>
          <w:rFonts w:ascii="Times New Roman" w:hAnsi="Times New Roman" w:cs="Times New Roman"/>
          <w:sz w:val="24"/>
          <w:szCs w:val="24"/>
        </w:rPr>
        <w:t>Opstand</w:t>
      </w:r>
      <w:proofErr w:type="spellEnd"/>
      <w:r w:rsidRPr="00616A53">
        <w:rPr>
          <w:rFonts w:ascii="Times New Roman" w:hAnsi="Times New Roman" w:cs="Times New Roman"/>
          <w:sz w:val="24"/>
          <w:szCs w:val="24"/>
        </w:rPr>
        <w:t xml:space="preserve">, 1904-1907. – </w:t>
      </w:r>
      <w:proofErr w:type="spellStart"/>
      <w:r w:rsidRPr="00616A53">
        <w:rPr>
          <w:rFonts w:ascii="Times New Roman" w:hAnsi="Times New Roman" w:cs="Times New Roman"/>
          <w:sz w:val="24"/>
          <w:szCs w:val="24"/>
        </w:rPr>
        <w:t>Haum</w:t>
      </w:r>
      <w:proofErr w:type="spellEnd"/>
      <w:r w:rsidRPr="00616A53">
        <w:rPr>
          <w:rFonts w:ascii="Times New Roman" w:hAnsi="Times New Roman" w:cs="Times New Roman"/>
          <w:sz w:val="24"/>
          <w:szCs w:val="24"/>
        </w:rPr>
        <w:t>, 1979. – С. 3-3.</w:t>
      </w:r>
    </w:p>
    <w:p w:rsidR="002632DF" w:rsidRPr="002632DF" w:rsidRDefault="002632DF" w:rsidP="002632D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Zimmerer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J. Deutsche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Herrschaft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über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Afrikaner: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Staatlicher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Machtanspruch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und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Wirklichkeit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kolonialen</w:t>
      </w:r>
      <w:proofErr w:type="spellEnd"/>
      <w:r w:rsidRPr="002632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Namibia. 4. – LIT Verlag Münster, 2025. – Т. 80.</w:t>
      </w:r>
    </w:p>
    <w:p w:rsidR="00223DB5" w:rsidRPr="00616A5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A53">
        <w:rPr>
          <w:rFonts w:ascii="Times New Roman" w:hAnsi="Times New Roman" w:cs="Times New Roman"/>
          <w:sz w:val="24"/>
          <w:szCs w:val="24"/>
        </w:rPr>
        <w:t>Allgemeine Zeitung</w:t>
      </w:r>
      <w:r w:rsidR="002632DF" w:rsidRPr="002632DF">
        <w:rPr>
          <w:rFonts w:ascii="Times New Roman" w:hAnsi="Times New Roman" w:cs="Times New Roman"/>
          <w:sz w:val="24"/>
          <w:szCs w:val="24"/>
        </w:rPr>
        <w:t>:</w:t>
      </w:r>
      <w:r w:rsidRPr="00616A5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16A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https://www.az.com.na/</w:t>
        </w:r>
      </w:hyperlink>
    </w:p>
    <w:sectPr w:rsidR="00223DB5" w:rsidRPr="00616A53" w:rsidSect="00616A5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8C1"/>
    <w:multiLevelType w:val="hybridMultilevel"/>
    <w:tmpl w:val="85F442D6"/>
    <w:lvl w:ilvl="0" w:tplc="6968515C">
      <w:start w:val="1"/>
      <w:numFmt w:val="decimal"/>
      <w:lvlText w:val="%1."/>
      <w:lvlJc w:val="left"/>
      <w:pPr>
        <w:ind w:left="720" w:hanging="360"/>
      </w:pPr>
    </w:lvl>
    <w:lvl w:ilvl="1" w:tplc="CC961A20">
      <w:start w:val="1"/>
      <w:numFmt w:val="decimal"/>
      <w:lvlText w:val="%2."/>
      <w:lvlJc w:val="left"/>
      <w:pPr>
        <w:ind w:left="1440" w:hanging="360"/>
      </w:pPr>
    </w:lvl>
    <w:lvl w:ilvl="2" w:tplc="C2C243A6">
      <w:start w:val="1"/>
      <w:numFmt w:val="decimal"/>
      <w:lvlText w:val="%3."/>
      <w:lvlJc w:val="left"/>
      <w:pPr>
        <w:ind w:left="2160" w:hanging="360"/>
      </w:pPr>
    </w:lvl>
    <w:lvl w:ilvl="3" w:tplc="83B42B92">
      <w:start w:val="1"/>
      <w:numFmt w:val="decimal"/>
      <w:lvlText w:val="%4."/>
      <w:lvlJc w:val="left"/>
      <w:pPr>
        <w:ind w:left="2880" w:hanging="360"/>
      </w:pPr>
    </w:lvl>
    <w:lvl w:ilvl="4" w:tplc="F738BCBC">
      <w:start w:val="1"/>
      <w:numFmt w:val="decimal"/>
      <w:lvlText w:val="%5."/>
      <w:lvlJc w:val="left"/>
      <w:pPr>
        <w:ind w:left="3600" w:hanging="360"/>
      </w:pPr>
    </w:lvl>
    <w:lvl w:ilvl="5" w:tplc="FAFAE8DE">
      <w:start w:val="1"/>
      <w:numFmt w:val="decimal"/>
      <w:lvlText w:val="%6."/>
      <w:lvlJc w:val="left"/>
      <w:pPr>
        <w:ind w:left="4320" w:hanging="360"/>
      </w:pPr>
    </w:lvl>
    <w:lvl w:ilvl="6" w:tplc="1144A6F4">
      <w:numFmt w:val="decimal"/>
      <w:lvlText w:val=""/>
      <w:lvlJc w:val="left"/>
    </w:lvl>
    <w:lvl w:ilvl="7" w:tplc="8266F144">
      <w:numFmt w:val="decimal"/>
      <w:lvlText w:val=""/>
      <w:lvlJc w:val="left"/>
    </w:lvl>
    <w:lvl w:ilvl="8" w:tplc="85F8FC18">
      <w:numFmt w:val="decimal"/>
      <w:lvlText w:val=""/>
      <w:lvlJc w:val="left"/>
    </w:lvl>
  </w:abstractNum>
  <w:num w:numId="1" w16cid:durableId="28265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B8"/>
    <w:rsid w:val="00223DB5"/>
    <w:rsid w:val="002632DF"/>
    <w:rsid w:val="00460684"/>
    <w:rsid w:val="00616A53"/>
    <w:rsid w:val="00660519"/>
    <w:rsid w:val="006E5FB8"/>
    <w:rsid w:val="00BC04F6"/>
    <w:rsid w:val="00C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FCAA6"/>
  <w14:defaultImageDpi w14:val="300"/>
  <w15:docId w15:val="{DA12D8AC-E50F-3447-A024-385DF382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6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spacing w:before="480" w:after="1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spacing w:before="390" w:after="13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E5FB8"/>
    <w:pPr>
      <w:keepNext/>
      <w:keepLines/>
      <w:spacing w:before="300"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6E5FB8"/>
    <w:pPr>
      <w:keepNext/>
      <w:keepLines/>
      <w:spacing w:before="300" w:after="100"/>
      <w:outlineLvl w:val="5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uiPriority w:val="10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rsid w:val="006E5FB8"/>
    <w:rPr>
      <w:rFonts w:asciiTheme="majorHAnsi" w:eastAsiaTheme="majorEastAsia" w:hAnsiTheme="majorHAnsi" w:cstheme="majorBidi"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ode">
    <w:name w:val="Code"/>
    <w:basedOn w:val="a0"/>
    <w:uiPriority w:val="24"/>
    <w:qFormat/>
    <w:rPr>
      <w:rFonts w:ascii="Consolas" w:hAnsi="Consolas" w:cs="Consolas"/>
    </w:rPr>
  </w:style>
  <w:style w:type="character" w:customStyle="1" w:styleId="FootnoteTextChar">
    <w:name w:val="Footnote Text Char"/>
    <w:basedOn w:val="a0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</w:rPr>
  </w:style>
  <w:style w:type="paragraph" w:styleId="a7">
    <w:name w:val="List Paragraph"/>
    <w:basedOn w:val="a"/>
    <w:uiPriority w:val="34"/>
    <w:qFormat/>
    <w:rsid w:val="00BC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6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z.com.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5506</Characters>
  <Application>Microsoft Office Word</Application>
  <DocSecurity>0</DocSecurity>
  <Lines>91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Zhuravlew</dc:creator>
  <cp:keywords/>
  <dc:description/>
  <cp:lastModifiedBy>Petr Zhuravlew</cp:lastModifiedBy>
  <cp:revision>2</cp:revision>
  <dcterms:created xsi:type="dcterms:W3CDTF">2026-03-09T16:09:00Z</dcterms:created>
  <dcterms:modified xsi:type="dcterms:W3CDTF">2026-03-09T16:09:00Z</dcterms:modified>
</cp:coreProperties>
</file>