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24DCC4" w:rsidR="00130241" w:rsidRDefault="000C3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</w:t>
      </w:r>
      <w:r w:rsidR="00B953D4">
        <w:rPr>
          <w:b/>
          <w:color w:val="000000"/>
        </w:rPr>
        <w:t>акропористы</w:t>
      </w:r>
      <w:r>
        <w:rPr>
          <w:b/>
          <w:color w:val="000000"/>
        </w:rPr>
        <w:t>е</w:t>
      </w:r>
      <w:r w:rsidR="00B953D4">
        <w:rPr>
          <w:b/>
          <w:color w:val="000000"/>
        </w:rPr>
        <w:t xml:space="preserve"> </w:t>
      </w:r>
      <w:proofErr w:type="spellStart"/>
      <w:r w:rsidR="00B953D4">
        <w:rPr>
          <w:b/>
          <w:color w:val="000000"/>
        </w:rPr>
        <w:t>резорбируемы</w:t>
      </w:r>
      <w:r>
        <w:rPr>
          <w:b/>
          <w:color w:val="000000"/>
        </w:rPr>
        <w:t>е</w:t>
      </w:r>
      <w:proofErr w:type="spellEnd"/>
      <w:r w:rsidR="00B953D4">
        <w:rPr>
          <w:b/>
          <w:color w:val="000000"/>
        </w:rPr>
        <w:t xml:space="preserve"> имплантат</w:t>
      </w:r>
      <w:r>
        <w:rPr>
          <w:b/>
          <w:color w:val="000000"/>
        </w:rPr>
        <w:t>ы на основе стабилизированных многокомпонентных фосфатов кальция</w:t>
      </w:r>
      <w:r w:rsidR="002D59E2">
        <w:rPr>
          <w:b/>
          <w:color w:val="000000"/>
        </w:rPr>
        <w:t xml:space="preserve"> для костной инженерии</w:t>
      </w:r>
    </w:p>
    <w:p w14:paraId="00000002" w14:textId="2180B680" w:rsidR="00130241" w:rsidRPr="00615325" w:rsidRDefault="0061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Леонтьев Н.В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B1F49">
        <w:rPr>
          <w:b/>
          <w:i/>
          <w:color w:val="000000"/>
        </w:rPr>
        <w:t>П</w:t>
      </w:r>
      <w:r>
        <w:rPr>
          <w:b/>
          <w:i/>
          <w:color w:val="000000"/>
        </w:rPr>
        <w:t>огольская</w:t>
      </w:r>
      <w:proofErr w:type="spellEnd"/>
      <w:r>
        <w:rPr>
          <w:b/>
          <w:i/>
          <w:color w:val="000000"/>
        </w:rPr>
        <w:t xml:space="preserve"> Д.Д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Евдокимов П.В.</w:t>
      </w:r>
      <w:r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Путляев</w:t>
      </w:r>
      <w:proofErr w:type="spellEnd"/>
      <w:r>
        <w:rPr>
          <w:b/>
          <w:i/>
          <w:color w:val="000000"/>
        </w:rPr>
        <w:t xml:space="preserve"> В.И.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6A0C85F9" w:rsidR="00130241" w:rsidRDefault="0061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6F4ACD77" w14:textId="77777777" w:rsidR="00CE62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E3187F2" w14:textId="3D3914F9" w:rsidR="00896589" w:rsidRDefault="00EB1F49" w:rsidP="00896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326A8" w:rsidRPr="008326A8">
        <w:rPr>
          <w:i/>
          <w:color w:val="000000"/>
        </w:rPr>
        <w:t xml:space="preserve"> </w:t>
      </w:r>
      <w:r w:rsidR="008326A8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896589">
        <w:rPr>
          <w:i/>
          <w:color w:val="000000"/>
        </w:rPr>
        <w:br/>
      </w:r>
      <w:r w:rsidR="008326A8">
        <w:rPr>
          <w:i/>
          <w:color w:val="000000"/>
        </w:rPr>
        <w:t>факультет наук о материалах, Москва, Россия</w:t>
      </w:r>
      <w:bookmarkStart w:id="0" w:name="OLE_LINK3"/>
    </w:p>
    <w:p w14:paraId="11CDB2D8" w14:textId="78BE0E25" w:rsidR="008326A8" w:rsidRPr="00896589" w:rsidRDefault="008326A8" w:rsidP="00896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56783">
        <w:rPr>
          <w:i/>
          <w:color w:val="000000"/>
          <w:lang w:val="en-US"/>
        </w:rPr>
        <w:t>E</w:t>
      </w:r>
      <w:r w:rsidRPr="00896589">
        <w:rPr>
          <w:i/>
          <w:color w:val="000000"/>
          <w:lang w:val="en-US"/>
        </w:rPr>
        <w:t>-</w:t>
      </w:r>
      <w:r w:rsidRPr="00456783">
        <w:rPr>
          <w:i/>
          <w:color w:val="000000"/>
          <w:lang w:val="en-US"/>
        </w:rPr>
        <w:t>mail</w:t>
      </w:r>
      <w:r w:rsidRPr="00896589">
        <w:rPr>
          <w:i/>
          <w:color w:val="000000"/>
          <w:lang w:val="en-US"/>
        </w:rPr>
        <w:t xml:space="preserve">: </w:t>
      </w:r>
      <w:r w:rsidRPr="00456783">
        <w:rPr>
          <w:i/>
          <w:color w:val="000000"/>
          <w:u w:val="single"/>
          <w:lang w:val="en-US"/>
        </w:rPr>
        <w:t>nleontev</w:t>
      </w:r>
      <w:r w:rsidRPr="00896589">
        <w:rPr>
          <w:i/>
          <w:color w:val="000000"/>
          <w:u w:val="single"/>
          <w:lang w:val="en-US"/>
        </w:rPr>
        <w:t>@</w:t>
      </w:r>
      <w:r w:rsidRPr="00456783">
        <w:rPr>
          <w:i/>
          <w:color w:val="000000"/>
          <w:u w:val="single"/>
          <w:lang w:val="en-US"/>
        </w:rPr>
        <w:t>inorg</w:t>
      </w:r>
      <w:r w:rsidRPr="00896589">
        <w:rPr>
          <w:i/>
          <w:color w:val="000000"/>
          <w:u w:val="single"/>
          <w:lang w:val="en-US"/>
        </w:rPr>
        <w:t>.</w:t>
      </w:r>
      <w:r w:rsidRPr="00456783">
        <w:rPr>
          <w:i/>
          <w:color w:val="000000"/>
          <w:u w:val="single"/>
          <w:lang w:val="en-US"/>
        </w:rPr>
        <w:t>chem</w:t>
      </w:r>
      <w:r w:rsidRPr="00896589">
        <w:rPr>
          <w:i/>
          <w:color w:val="000000"/>
          <w:u w:val="single"/>
          <w:lang w:val="en-US"/>
        </w:rPr>
        <w:t>.</w:t>
      </w:r>
      <w:r w:rsidRPr="00456783">
        <w:rPr>
          <w:i/>
          <w:color w:val="000000"/>
          <w:u w:val="single"/>
          <w:lang w:val="en-US"/>
        </w:rPr>
        <w:t>msu</w:t>
      </w:r>
      <w:r w:rsidRPr="00896589">
        <w:rPr>
          <w:i/>
          <w:color w:val="000000"/>
          <w:u w:val="single"/>
          <w:lang w:val="en-US"/>
        </w:rPr>
        <w:t>.</w:t>
      </w:r>
      <w:r w:rsidRPr="00456783">
        <w:rPr>
          <w:i/>
          <w:color w:val="000000"/>
          <w:u w:val="single"/>
          <w:lang w:val="en-US"/>
        </w:rPr>
        <w:t>ru</w:t>
      </w:r>
    </w:p>
    <w:bookmarkEnd w:id="0"/>
    <w:p w14:paraId="25F33242" w14:textId="6CADE336" w:rsidR="00147B5E" w:rsidRPr="00147B5E" w:rsidRDefault="00147B5E" w:rsidP="00F73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Pr="00147B5E">
        <w:rPr>
          <w:color w:val="000000"/>
        </w:rPr>
        <w:t xml:space="preserve">тратегия регенеративной медицины рассматривает костный имплантат не как </w:t>
      </w:r>
      <w:r w:rsidR="00251E93">
        <w:rPr>
          <w:color w:val="000000"/>
        </w:rPr>
        <w:t xml:space="preserve">инертный </w:t>
      </w:r>
      <w:proofErr w:type="spellStart"/>
      <w:r w:rsidR="007D41A2">
        <w:rPr>
          <w:color w:val="000000"/>
        </w:rPr>
        <w:t>объемозамещающий</w:t>
      </w:r>
      <w:proofErr w:type="spellEnd"/>
      <w:r w:rsidR="007D41A2">
        <w:rPr>
          <w:color w:val="000000"/>
        </w:rPr>
        <w:t xml:space="preserve"> </w:t>
      </w:r>
      <w:r w:rsidR="00251E93">
        <w:rPr>
          <w:color w:val="000000"/>
        </w:rPr>
        <w:t>материал</w:t>
      </w:r>
      <w:r w:rsidRPr="00147B5E">
        <w:rPr>
          <w:color w:val="000000"/>
        </w:rPr>
        <w:t xml:space="preserve">, а как временную </w:t>
      </w:r>
      <w:r w:rsidR="0052044D">
        <w:rPr>
          <w:color w:val="000000"/>
        </w:rPr>
        <w:t>растворимую (</w:t>
      </w:r>
      <w:proofErr w:type="spellStart"/>
      <w:r w:rsidR="0052044D">
        <w:rPr>
          <w:color w:val="000000"/>
        </w:rPr>
        <w:t>резорбируемую</w:t>
      </w:r>
      <w:proofErr w:type="spellEnd"/>
      <w:r w:rsidR="0052044D">
        <w:rPr>
          <w:color w:val="000000"/>
        </w:rPr>
        <w:t>)</w:t>
      </w:r>
      <w:r w:rsidRPr="00147B5E">
        <w:rPr>
          <w:color w:val="000000"/>
        </w:rPr>
        <w:t xml:space="preserve"> </w:t>
      </w:r>
      <w:r w:rsidR="00251E93">
        <w:rPr>
          <w:color w:val="000000"/>
        </w:rPr>
        <w:t xml:space="preserve">пористую </w:t>
      </w:r>
      <w:r w:rsidRPr="00147B5E">
        <w:rPr>
          <w:color w:val="000000"/>
        </w:rPr>
        <w:t>матрицу, которая постепенно замеща</w:t>
      </w:r>
      <w:r w:rsidR="0052044D">
        <w:rPr>
          <w:color w:val="000000"/>
        </w:rPr>
        <w:t>ется</w:t>
      </w:r>
      <w:r w:rsidRPr="00147B5E">
        <w:rPr>
          <w:color w:val="000000"/>
        </w:rPr>
        <w:t xml:space="preserve"> новообразованной тканью. Для реализации этого подхода материал должен обладать </w:t>
      </w:r>
      <w:proofErr w:type="spellStart"/>
      <w:r w:rsidRPr="00147B5E">
        <w:rPr>
          <w:color w:val="000000"/>
        </w:rPr>
        <w:t>остеоиндуктивностью</w:t>
      </w:r>
      <w:proofErr w:type="spellEnd"/>
      <w:r w:rsidRPr="00147B5E">
        <w:rPr>
          <w:color w:val="000000"/>
        </w:rPr>
        <w:t xml:space="preserve"> </w:t>
      </w:r>
      <w:r w:rsidR="0052044D">
        <w:rPr>
          <w:color w:val="000000"/>
        </w:rPr>
        <w:t>–</w:t>
      </w:r>
      <w:r w:rsidRPr="00147B5E">
        <w:rPr>
          <w:color w:val="000000"/>
        </w:rPr>
        <w:t xml:space="preserve"> способностью инициировать</w:t>
      </w:r>
      <w:r w:rsidR="0052044D">
        <w:rPr>
          <w:color w:val="000000"/>
        </w:rPr>
        <w:t xml:space="preserve"> и ускорять</w:t>
      </w:r>
      <w:r w:rsidRPr="00147B5E">
        <w:rPr>
          <w:color w:val="000000"/>
        </w:rPr>
        <w:t xml:space="preserve"> </w:t>
      </w:r>
      <w:r w:rsidR="0052044D">
        <w:rPr>
          <w:color w:val="000000"/>
        </w:rPr>
        <w:t>процессы</w:t>
      </w:r>
      <w:r w:rsidRPr="00147B5E">
        <w:rPr>
          <w:color w:val="000000"/>
        </w:rPr>
        <w:t xml:space="preserve"> остеогенеза. Эффективным путем придания </w:t>
      </w:r>
      <w:proofErr w:type="spellStart"/>
      <w:r w:rsidRPr="00147B5E">
        <w:rPr>
          <w:color w:val="000000"/>
        </w:rPr>
        <w:t>остеоиндуктивных</w:t>
      </w:r>
      <w:proofErr w:type="spellEnd"/>
      <w:r w:rsidRPr="00147B5E">
        <w:rPr>
          <w:color w:val="000000"/>
        </w:rPr>
        <w:t xml:space="preserve"> свойств керамике является введение в ее состав набора биоактивных ионов (Mg</w:t>
      </w:r>
      <w:r w:rsidR="0052044D" w:rsidRPr="0052044D">
        <w:rPr>
          <w:color w:val="000000"/>
          <w:vertAlign w:val="superscript"/>
        </w:rPr>
        <w:t>2+</w:t>
      </w:r>
      <w:r w:rsidRPr="00147B5E">
        <w:rPr>
          <w:color w:val="000000"/>
        </w:rPr>
        <w:t>, Sr</w:t>
      </w:r>
      <w:r w:rsidR="0052044D" w:rsidRPr="0052044D">
        <w:rPr>
          <w:color w:val="000000"/>
          <w:vertAlign w:val="superscript"/>
        </w:rPr>
        <w:t>2+</w:t>
      </w:r>
      <w:r w:rsidRPr="00147B5E">
        <w:rPr>
          <w:color w:val="000000"/>
        </w:rPr>
        <w:t>, Cu</w:t>
      </w:r>
      <w:r w:rsidR="0052044D" w:rsidRPr="0052044D">
        <w:rPr>
          <w:color w:val="000000"/>
          <w:vertAlign w:val="superscript"/>
        </w:rPr>
        <w:t>2+</w:t>
      </w:r>
      <w:r w:rsidRPr="00147B5E">
        <w:rPr>
          <w:color w:val="000000"/>
        </w:rPr>
        <w:t>, Zn</w:t>
      </w:r>
      <w:r w:rsidR="0052044D" w:rsidRPr="0052044D">
        <w:rPr>
          <w:color w:val="000000"/>
          <w:vertAlign w:val="superscript"/>
        </w:rPr>
        <w:t>2+</w:t>
      </w:r>
      <w:r w:rsidRPr="00147B5E">
        <w:rPr>
          <w:color w:val="000000"/>
        </w:rPr>
        <w:t xml:space="preserve">, </w:t>
      </w:r>
      <w:proofErr w:type="spellStart"/>
      <w:r w:rsidR="0052044D">
        <w:rPr>
          <w:color w:val="000000"/>
          <w:lang w:val="en-US"/>
        </w:rPr>
        <w:t>SiO</w:t>
      </w:r>
      <w:proofErr w:type="spellEnd"/>
      <w:r w:rsidR="0052044D" w:rsidRPr="0052044D">
        <w:rPr>
          <w:color w:val="000000"/>
          <w:vertAlign w:val="subscript"/>
        </w:rPr>
        <w:t>4</w:t>
      </w:r>
      <w:r w:rsidR="0052044D" w:rsidRPr="0052044D">
        <w:rPr>
          <w:color w:val="000000"/>
          <w:vertAlign w:val="superscript"/>
        </w:rPr>
        <w:t>4–</w:t>
      </w:r>
      <w:r w:rsidR="0052044D" w:rsidRPr="0052044D">
        <w:rPr>
          <w:color w:val="000000"/>
        </w:rPr>
        <w:t xml:space="preserve">, </w:t>
      </w:r>
      <w:proofErr w:type="spellStart"/>
      <w:r w:rsidR="0052044D">
        <w:rPr>
          <w:color w:val="000000"/>
          <w:lang w:val="en-US"/>
        </w:rPr>
        <w:t>GeO</w:t>
      </w:r>
      <w:proofErr w:type="spellEnd"/>
      <w:r w:rsidR="0052044D" w:rsidRPr="0052044D">
        <w:rPr>
          <w:color w:val="000000"/>
          <w:vertAlign w:val="subscript"/>
        </w:rPr>
        <w:t>4</w:t>
      </w:r>
      <w:r w:rsidR="0052044D" w:rsidRPr="0052044D">
        <w:rPr>
          <w:color w:val="000000"/>
          <w:vertAlign w:val="superscript"/>
        </w:rPr>
        <w:t>4–</w:t>
      </w:r>
      <w:r w:rsidRPr="00147B5E">
        <w:rPr>
          <w:color w:val="000000"/>
        </w:rPr>
        <w:t xml:space="preserve"> и др.), каждый из которых выполняет </w:t>
      </w:r>
      <w:r w:rsidR="0067310D">
        <w:rPr>
          <w:color w:val="000000"/>
        </w:rPr>
        <w:t>специ</w:t>
      </w:r>
      <w:r w:rsidR="00D77B4E">
        <w:rPr>
          <w:color w:val="000000"/>
        </w:rPr>
        <w:t>альную</w:t>
      </w:r>
      <w:r w:rsidRPr="00147B5E">
        <w:rPr>
          <w:color w:val="000000"/>
        </w:rPr>
        <w:t xml:space="preserve"> функцию в процессах костеобразования.</w:t>
      </w:r>
      <w:r w:rsidR="00F73EE3">
        <w:rPr>
          <w:color w:val="000000"/>
        </w:rPr>
        <w:t xml:space="preserve"> </w:t>
      </w:r>
      <w:r w:rsidRPr="00147B5E">
        <w:rPr>
          <w:color w:val="000000"/>
        </w:rPr>
        <w:t xml:space="preserve">В качестве </w:t>
      </w:r>
      <w:r w:rsidR="003F1332">
        <w:rPr>
          <w:color w:val="000000"/>
        </w:rPr>
        <w:t>кристаллохимической</w:t>
      </w:r>
      <w:r w:rsidRPr="00147B5E">
        <w:rPr>
          <w:color w:val="000000"/>
        </w:rPr>
        <w:t xml:space="preserve"> основы</w:t>
      </w:r>
      <w:r w:rsidR="00F73EE3">
        <w:rPr>
          <w:color w:val="000000"/>
        </w:rPr>
        <w:t xml:space="preserve">, включающей в себя широкой набор </w:t>
      </w:r>
      <w:proofErr w:type="spellStart"/>
      <w:r w:rsidR="00F73EE3">
        <w:rPr>
          <w:color w:val="000000"/>
        </w:rPr>
        <w:t>остеоиндуктивных</w:t>
      </w:r>
      <w:proofErr w:type="spellEnd"/>
      <w:r w:rsidR="00F73EE3">
        <w:rPr>
          <w:color w:val="000000"/>
        </w:rPr>
        <w:t xml:space="preserve"> ионов,</w:t>
      </w:r>
      <w:r w:rsidRPr="00147B5E">
        <w:rPr>
          <w:color w:val="000000"/>
        </w:rPr>
        <w:t xml:space="preserve"> в работе выбрана </w:t>
      </w:r>
      <w:r w:rsidR="003F1332">
        <w:rPr>
          <w:color w:val="000000"/>
        </w:rPr>
        <w:t xml:space="preserve">структура </w:t>
      </w:r>
      <w:proofErr w:type="spellStart"/>
      <w:r w:rsidR="003F1332">
        <w:rPr>
          <w:color w:val="000000"/>
        </w:rPr>
        <w:t>глазерита</w:t>
      </w:r>
      <w:proofErr w:type="spellEnd"/>
      <w:r w:rsidR="003F1332">
        <w:rPr>
          <w:color w:val="000000"/>
        </w:rPr>
        <w:t xml:space="preserve"> (общая формула </w:t>
      </w:r>
      <w:r w:rsidR="003F1332">
        <w:rPr>
          <w:color w:val="000000"/>
          <w:lang w:val="en-US"/>
        </w:rPr>
        <w:t>A</w:t>
      </w:r>
      <w:r w:rsidR="003F1332" w:rsidRPr="003F1332">
        <w:rPr>
          <w:color w:val="000000"/>
          <w:vertAlign w:val="subscript"/>
        </w:rPr>
        <w:t>2</w:t>
      </w:r>
      <w:r w:rsidR="003F1332">
        <w:rPr>
          <w:color w:val="000000"/>
          <w:lang w:val="en-US"/>
        </w:rPr>
        <w:t>XO</w:t>
      </w:r>
      <w:r w:rsidR="003F1332" w:rsidRPr="003F1332">
        <w:rPr>
          <w:color w:val="000000"/>
          <w:vertAlign w:val="subscript"/>
        </w:rPr>
        <w:t>4</w:t>
      </w:r>
      <w:r w:rsidR="003F1332">
        <w:rPr>
          <w:color w:val="000000"/>
        </w:rPr>
        <w:t>)</w:t>
      </w:r>
      <w:r w:rsidRPr="00147B5E">
        <w:rPr>
          <w:color w:val="000000"/>
        </w:rPr>
        <w:t>, родственная трикальцийфосфату. В системе CaNaPO</w:t>
      </w:r>
      <w:r w:rsidR="00F73EE3" w:rsidRPr="00F73EE3">
        <w:rPr>
          <w:color w:val="000000"/>
          <w:vertAlign w:val="subscript"/>
        </w:rPr>
        <w:t>4</w:t>
      </w:r>
      <w:r w:rsidRPr="00147B5E">
        <w:rPr>
          <w:color w:val="000000"/>
        </w:rPr>
        <w:t>–Ca</w:t>
      </w:r>
      <w:r w:rsidR="00F73EE3" w:rsidRPr="00F73EE3">
        <w:rPr>
          <w:color w:val="000000"/>
          <w:vertAlign w:val="subscript"/>
        </w:rPr>
        <w:t>2</w:t>
      </w:r>
      <w:r w:rsidRPr="00147B5E">
        <w:rPr>
          <w:color w:val="000000"/>
        </w:rPr>
        <w:t>SiO</w:t>
      </w:r>
      <w:r w:rsidR="00F73EE3" w:rsidRPr="00F73EE3">
        <w:rPr>
          <w:color w:val="000000"/>
          <w:vertAlign w:val="subscript"/>
        </w:rPr>
        <w:t>4</w:t>
      </w:r>
      <w:r w:rsidRPr="00147B5E">
        <w:rPr>
          <w:color w:val="000000"/>
        </w:rPr>
        <w:t>–Ca</w:t>
      </w:r>
      <w:r w:rsidR="00F73EE3" w:rsidRPr="00F73EE3">
        <w:rPr>
          <w:color w:val="000000"/>
          <w:vertAlign w:val="subscript"/>
        </w:rPr>
        <w:t>3</w:t>
      </w:r>
      <w:r w:rsidRPr="00147B5E">
        <w:rPr>
          <w:color w:val="000000"/>
        </w:rPr>
        <w:t>(PO</w:t>
      </w:r>
      <w:r w:rsidR="00F73EE3" w:rsidRPr="00F73EE3">
        <w:rPr>
          <w:color w:val="000000"/>
          <w:vertAlign w:val="subscript"/>
        </w:rPr>
        <w:t>4</w:t>
      </w:r>
      <w:r w:rsidRPr="00147B5E">
        <w:rPr>
          <w:color w:val="000000"/>
        </w:rPr>
        <w:t>)</w:t>
      </w:r>
      <w:r w:rsidR="00F73EE3" w:rsidRPr="00F73EE3">
        <w:rPr>
          <w:color w:val="000000"/>
          <w:vertAlign w:val="subscript"/>
        </w:rPr>
        <w:t>2</w:t>
      </w:r>
      <w:r w:rsidRPr="00147B5E">
        <w:rPr>
          <w:color w:val="000000"/>
        </w:rPr>
        <w:t xml:space="preserve"> существует широк</w:t>
      </w:r>
      <w:r w:rsidR="007D41A2">
        <w:rPr>
          <w:color w:val="000000"/>
        </w:rPr>
        <w:t>ая</w:t>
      </w:r>
      <w:r w:rsidRPr="00147B5E">
        <w:rPr>
          <w:color w:val="000000"/>
        </w:rPr>
        <w:t xml:space="preserve"> област</w:t>
      </w:r>
      <w:r w:rsidR="007D41A2">
        <w:rPr>
          <w:color w:val="000000"/>
        </w:rPr>
        <w:t>ь</w:t>
      </w:r>
      <w:r w:rsidRPr="00147B5E">
        <w:rPr>
          <w:color w:val="000000"/>
        </w:rPr>
        <w:t xml:space="preserve"> высокотемпературн</w:t>
      </w:r>
      <w:r w:rsidR="007D41A2">
        <w:rPr>
          <w:color w:val="000000"/>
        </w:rPr>
        <w:t>ого</w:t>
      </w:r>
      <w:r w:rsidRPr="00147B5E">
        <w:rPr>
          <w:color w:val="000000"/>
        </w:rPr>
        <w:t xml:space="preserve"> тверд</w:t>
      </w:r>
      <w:r w:rsidR="007D41A2">
        <w:rPr>
          <w:color w:val="000000"/>
        </w:rPr>
        <w:t>ого</w:t>
      </w:r>
      <w:r w:rsidR="00635184">
        <w:rPr>
          <w:color w:val="000000"/>
        </w:rPr>
        <w:t xml:space="preserve"> </w:t>
      </w:r>
      <w:r w:rsidRPr="00147B5E">
        <w:rPr>
          <w:color w:val="000000"/>
        </w:rPr>
        <w:t>раствор</w:t>
      </w:r>
      <w:r w:rsidR="007D41A2">
        <w:rPr>
          <w:color w:val="000000"/>
        </w:rPr>
        <w:t>а</w:t>
      </w:r>
      <w:r w:rsidRPr="00147B5E">
        <w:rPr>
          <w:color w:val="000000"/>
        </w:rPr>
        <w:t xml:space="preserve"> с </w:t>
      </w:r>
      <w:proofErr w:type="spellStart"/>
      <w:r w:rsidRPr="00147B5E">
        <w:rPr>
          <w:color w:val="000000"/>
        </w:rPr>
        <w:t>глазерит</w:t>
      </w:r>
      <w:r w:rsidR="00635184">
        <w:rPr>
          <w:color w:val="000000"/>
        </w:rPr>
        <w:t>оподобной</w:t>
      </w:r>
      <w:proofErr w:type="spellEnd"/>
      <w:r w:rsidR="00635184">
        <w:rPr>
          <w:color w:val="000000"/>
        </w:rPr>
        <w:t xml:space="preserve"> структурой</w:t>
      </w:r>
      <w:r w:rsidRPr="00147B5E">
        <w:rPr>
          <w:color w:val="000000"/>
        </w:rPr>
        <w:t>, отличающ</w:t>
      </w:r>
      <w:r w:rsidR="00635184">
        <w:rPr>
          <w:color w:val="000000"/>
        </w:rPr>
        <w:t>иеся</w:t>
      </w:r>
      <w:r w:rsidRPr="00147B5E">
        <w:rPr>
          <w:color w:val="000000"/>
        </w:rPr>
        <w:t xml:space="preserve"> повышенной склонностью к резорбции. Показано, что целенаправленное усложнение состава</w:t>
      </w:r>
      <w:r w:rsidR="00D0386E">
        <w:rPr>
          <w:color w:val="000000"/>
        </w:rPr>
        <w:t xml:space="preserve"> твердых растворов, что отвечает формуле</w:t>
      </w:r>
      <w:r w:rsidRPr="00147B5E">
        <w:rPr>
          <w:color w:val="000000"/>
        </w:rPr>
        <w:t xml:space="preserve"> (</w:t>
      </w:r>
      <w:proofErr w:type="spellStart"/>
      <w:proofErr w:type="gramStart"/>
      <w:r w:rsidRPr="00147B5E">
        <w:rPr>
          <w:color w:val="000000"/>
        </w:rPr>
        <w:t>Ca,Mg</w:t>
      </w:r>
      <w:proofErr w:type="gramEnd"/>
      <w:r w:rsidRPr="00147B5E">
        <w:rPr>
          <w:color w:val="000000"/>
        </w:rPr>
        <w:t>,</w:t>
      </w:r>
      <w:proofErr w:type="gramStart"/>
      <w:r w:rsidRPr="00147B5E">
        <w:rPr>
          <w:color w:val="000000"/>
        </w:rPr>
        <w:t>Sr,Na</w:t>
      </w:r>
      <w:proofErr w:type="gramEnd"/>
      <w:r w:rsidRPr="00147B5E">
        <w:rPr>
          <w:color w:val="000000"/>
        </w:rPr>
        <w:t>,</w:t>
      </w:r>
      <w:proofErr w:type="gramStart"/>
      <w:r w:rsidRPr="00147B5E">
        <w:rPr>
          <w:color w:val="000000"/>
        </w:rPr>
        <w:t>K,Cu</w:t>
      </w:r>
      <w:proofErr w:type="gramEnd"/>
      <w:r w:rsidRPr="00147B5E">
        <w:rPr>
          <w:color w:val="000000"/>
        </w:rPr>
        <w:t>,</w:t>
      </w:r>
      <w:proofErr w:type="gramStart"/>
      <w:r w:rsidRPr="00147B5E">
        <w:rPr>
          <w:color w:val="000000"/>
        </w:rPr>
        <w:t>Zn</w:t>
      </w:r>
      <w:proofErr w:type="spellEnd"/>
      <w:r w:rsidRPr="00147B5E">
        <w:rPr>
          <w:color w:val="000000"/>
        </w:rPr>
        <w:t>)</w:t>
      </w:r>
      <w:r w:rsidR="00D0386E" w:rsidRPr="00102001">
        <w:rPr>
          <w:i/>
          <w:iCs/>
          <w:color w:val="000000"/>
          <w:vertAlign w:val="subscript"/>
          <w:lang w:val="en-US"/>
        </w:rPr>
        <w:t>a</w:t>
      </w:r>
      <w:proofErr w:type="gramEnd"/>
      <w:r w:rsidRPr="00147B5E">
        <w:rPr>
          <w:color w:val="000000"/>
        </w:rPr>
        <w:t>(PO</w:t>
      </w:r>
      <w:proofErr w:type="gramStart"/>
      <w:r w:rsidR="00D0386E" w:rsidRPr="00D0386E">
        <w:rPr>
          <w:color w:val="000000"/>
          <w:vertAlign w:val="subscript"/>
        </w:rPr>
        <w:t>4</w:t>
      </w:r>
      <w:r w:rsidRPr="00147B5E">
        <w:rPr>
          <w:color w:val="000000"/>
        </w:rPr>
        <w:t>,SiO</w:t>
      </w:r>
      <w:r w:rsidR="00D0386E" w:rsidRPr="00D0386E">
        <w:rPr>
          <w:color w:val="000000"/>
          <w:vertAlign w:val="subscript"/>
        </w:rPr>
        <w:t>4</w:t>
      </w:r>
      <w:r w:rsidRPr="00147B5E">
        <w:rPr>
          <w:color w:val="000000"/>
        </w:rPr>
        <w:t>,GeO</w:t>
      </w:r>
      <w:r w:rsidR="00D0386E" w:rsidRPr="00D0386E">
        <w:rPr>
          <w:color w:val="000000"/>
          <w:vertAlign w:val="subscript"/>
        </w:rPr>
        <w:t>4</w:t>
      </w:r>
      <w:r w:rsidRPr="00147B5E">
        <w:rPr>
          <w:color w:val="000000"/>
        </w:rPr>
        <w:t>)</w:t>
      </w:r>
      <w:r w:rsidR="00D0386E" w:rsidRPr="00102001">
        <w:rPr>
          <w:i/>
          <w:iCs/>
          <w:color w:val="000000"/>
          <w:vertAlign w:val="subscript"/>
          <w:lang w:val="en-US"/>
        </w:rPr>
        <w:t>b</w:t>
      </w:r>
      <w:proofErr w:type="gramEnd"/>
      <w:r w:rsidR="00D0386E">
        <w:rPr>
          <w:color w:val="000000"/>
        </w:rPr>
        <w:t xml:space="preserve">, </w:t>
      </w:r>
      <w:r w:rsidRPr="00147B5E">
        <w:rPr>
          <w:color w:val="000000"/>
        </w:rPr>
        <w:t>сопровождается ростом конфигурационной энтропии</w:t>
      </w:r>
      <w:r w:rsidR="00310A93">
        <w:rPr>
          <w:color w:val="000000"/>
        </w:rPr>
        <w:t xml:space="preserve"> и </w:t>
      </w:r>
      <w:r w:rsidRPr="00147B5E">
        <w:rPr>
          <w:color w:val="000000"/>
        </w:rPr>
        <w:t>способствует стабилизации высокотемпературных полиморфных модификаций и подавлению их распада при охлаждении.</w:t>
      </w:r>
    </w:p>
    <w:p w14:paraId="2C21D666" w14:textId="499A62B2" w:rsidR="002334CA" w:rsidRPr="00CE623C" w:rsidRDefault="005150C8" w:rsidP="00147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CE623C">
        <w:rPr>
          <w:color w:val="000000"/>
        </w:rPr>
        <w:t>Так, з</w:t>
      </w:r>
      <w:r w:rsidR="00147B5E" w:rsidRPr="00CE623C">
        <w:rPr>
          <w:color w:val="000000"/>
        </w:rPr>
        <w:t xml:space="preserve">акалка от 1500 °С твердых растворов </w:t>
      </w:r>
      <w:r w:rsidRPr="00CE623C">
        <w:rPr>
          <w:bCs/>
          <w:iCs/>
          <w:color w:val="000000"/>
          <w:lang w:val="en-US"/>
        </w:rPr>
        <w:t>Ca</w:t>
      </w:r>
      <w:r w:rsidRPr="00CE623C">
        <w:rPr>
          <w:bCs/>
          <w:iCs/>
          <w:color w:val="000000"/>
          <w:vertAlign w:val="subscript"/>
        </w:rPr>
        <w:t>4+</w:t>
      </w:r>
      <w:proofErr w:type="spellStart"/>
      <w:r w:rsidRPr="00CE623C">
        <w:rPr>
          <w:bCs/>
          <w:i/>
          <w:color w:val="000000"/>
          <w:vertAlign w:val="subscript"/>
          <w:lang w:val="en-US"/>
        </w:rPr>
        <w:t>x</w:t>
      </w:r>
      <w:r w:rsidRPr="00CE623C">
        <w:rPr>
          <w:bCs/>
          <w:iCs/>
          <w:color w:val="000000"/>
          <w:lang w:val="en-US"/>
        </w:rPr>
        <w:t>Na</w:t>
      </w:r>
      <w:proofErr w:type="spellEnd"/>
      <w:r w:rsidRPr="00CE623C">
        <w:rPr>
          <w:bCs/>
          <w:iCs/>
          <w:color w:val="000000"/>
          <w:vertAlign w:val="subscript"/>
        </w:rPr>
        <w:t>2</w:t>
      </w:r>
      <w:r w:rsidRPr="00CE623C">
        <w:rPr>
          <w:bCs/>
          <w:iCs/>
          <w:color w:val="000000"/>
        </w:rPr>
        <w:t>(</w:t>
      </w:r>
      <w:r w:rsidRPr="00CE623C">
        <w:rPr>
          <w:bCs/>
          <w:iCs/>
          <w:color w:val="000000"/>
          <w:lang w:val="en-US"/>
        </w:rPr>
        <w:t>PO</w:t>
      </w:r>
      <w:r w:rsidRPr="00CE623C">
        <w:rPr>
          <w:bCs/>
          <w:iCs/>
          <w:color w:val="000000"/>
          <w:vertAlign w:val="subscript"/>
        </w:rPr>
        <w:t>4</w:t>
      </w:r>
      <w:r w:rsidRPr="00CE623C">
        <w:rPr>
          <w:bCs/>
          <w:iCs/>
          <w:color w:val="000000"/>
        </w:rPr>
        <w:t>)</w:t>
      </w:r>
      <w:r w:rsidRPr="00CE623C">
        <w:rPr>
          <w:bCs/>
          <w:iCs/>
          <w:color w:val="000000"/>
          <w:vertAlign w:val="subscript"/>
        </w:rPr>
        <w:t>2+2</w:t>
      </w:r>
      <w:r w:rsidRPr="00CE623C">
        <w:rPr>
          <w:bCs/>
          <w:i/>
          <w:color w:val="000000"/>
          <w:vertAlign w:val="subscript"/>
          <w:lang w:val="en-US"/>
        </w:rPr>
        <w:t>x</w:t>
      </w:r>
      <w:r w:rsidRPr="00CE623C">
        <w:rPr>
          <w:bCs/>
          <w:iCs/>
          <w:color w:val="000000"/>
        </w:rPr>
        <w:t>(</w:t>
      </w:r>
      <w:proofErr w:type="spellStart"/>
      <w:r w:rsidRPr="00CE623C">
        <w:rPr>
          <w:bCs/>
          <w:iCs/>
          <w:color w:val="000000"/>
          <w:lang w:val="en-US"/>
        </w:rPr>
        <w:t>SiO</w:t>
      </w:r>
      <w:proofErr w:type="spellEnd"/>
      <w:r w:rsidRPr="00CE623C">
        <w:rPr>
          <w:bCs/>
          <w:iCs/>
          <w:color w:val="000000"/>
          <w:vertAlign w:val="subscript"/>
        </w:rPr>
        <w:t>4</w:t>
      </w:r>
      <w:r w:rsidRPr="00CE623C">
        <w:rPr>
          <w:bCs/>
          <w:iCs/>
          <w:color w:val="000000"/>
        </w:rPr>
        <w:t>)</w:t>
      </w:r>
      <w:r w:rsidRPr="00CE623C">
        <w:rPr>
          <w:bCs/>
          <w:iCs/>
          <w:color w:val="000000"/>
          <w:vertAlign w:val="subscript"/>
        </w:rPr>
        <w:t>1–</w:t>
      </w:r>
      <w:r w:rsidRPr="00CE623C">
        <w:rPr>
          <w:bCs/>
          <w:i/>
          <w:color w:val="000000"/>
          <w:vertAlign w:val="subscript"/>
          <w:lang w:val="en-US"/>
        </w:rPr>
        <w:t>x</w:t>
      </w:r>
      <w:r w:rsidRPr="00CE623C">
        <w:rPr>
          <w:bCs/>
          <w:iCs/>
          <w:color w:val="000000"/>
        </w:rPr>
        <w:t xml:space="preserve"> (</w:t>
      </w:r>
      <w:r w:rsidRPr="00CE623C">
        <w:rPr>
          <w:bCs/>
          <w:i/>
          <w:color w:val="000000"/>
          <w:lang w:val="en-US"/>
        </w:rPr>
        <w:t>x</w:t>
      </w:r>
      <w:r w:rsidRPr="00CE623C">
        <w:rPr>
          <w:bCs/>
          <w:iCs/>
          <w:color w:val="000000"/>
        </w:rPr>
        <w:t xml:space="preserve"> = 0.33, 0.66) и </w:t>
      </w:r>
      <w:r w:rsidRPr="00CE623C">
        <w:rPr>
          <w:bCs/>
          <w:iCs/>
          <w:color w:val="000000"/>
          <w:lang w:val="en-US"/>
        </w:rPr>
        <w:t>Ca</w:t>
      </w:r>
      <w:r w:rsidRPr="00CE623C">
        <w:rPr>
          <w:bCs/>
          <w:iCs/>
          <w:color w:val="000000"/>
          <w:vertAlign w:val="subscript"/>
        </w:rPr>
        <w:t>4+4</w:t>
      </w:r>
      <w:proofErr w:type="spellStart"/>
      <w:r w:rsidRPr="00CE623C">
        <w:rPr>
          <w:bCs/>
          <w:i/>
          <w:color w:val="000000"/>
          <w:vertAlign w:val="subscript"/>
          <w:lang w:val="en-US"/>
        </w:rPr>
        <w:t>y</w:t>
      </w:r>
      <w:r w:rsidRPr="00CE623C">
        <w:rPr>
          <w:bCs/>
          <w:iCs/>
          <w:color w:val="000000"/>
          <w:lang w:val="en-US"/>
        </w:rPr>
        <w:t>Na</w:t>
      </w:r>
      <w:proofErr w:type="spellEnd"/>
      <w:r w:rsidRPr="00CE623C">
        <w:rPr>
          <w:bCs/>
          <w:iCs/>
          <w:color w:val="000000"/>
          <w:vertAlign w:val="subscript"/>
        </w:rPr>
        <w:t>2–2</w:t>
      </w:r>
      <w:r w:rsidRPr="00CE623C">
        <w:rPr>
          <w:bCs/>
          <w:i/>
          <w:color w:val="000000"/>
          <w:vertAlign w:val="subscript"/>
          <w:lang w:val="en-US"/>
        </w:rPr>
        <w:t>y</w:t>
      </w:r>
      <w:r w:rsidRPr="00CE623C">
        <w:rPr>
          <w:bCs/>
          <w:iCs/>
          <w:color w:val="000000"/>
        </w:rPr>
        <w:t>(</w:t>
      </w:r>
      <w:r w:rsidRPr="00CE623C">
        <w:rPr>
          <w:bCs/>
          <w:iCs/>
          <w:color w:val="000000"/>
          <w:lang w:val="en-US"/>
        </w:rPr>
        <w:t>PO</w:t>
      </w:r>
      <w:r w:rsidRPr="00CE623C">
        <w:rPr>
          <w:bCs/>
          <w:iCs/>
          <w:color w:val="000000"/>
          <w:vertAlign w:val="subscript"/>
        </w:rPr>
        <w:t>4</w:t>
      </w:r>
      <w:r w:rsidRPr="00CE623C">
        <w:rPr>
          <w:bCs/>
          <w:iCs/>
          <w:color w:val="000000"/>
        </w:rPr>
        <w:t>)</w:t>
      </w:r>
      <w:r w:rsidRPr="00CE623C">
        <w:rPr>
          <w:bCs/>
          <w:iCs/>
          <w:color w:val="000000"/>
          <w:vertAlign w:val="subscript"/>
        </w:rPr>
        <w:t>2+2</w:t>
      </w:r>
      <w:proofErr w:type="spellStart"/>
      <w:r w:rsidRPr="00CE623C">
        <w:rPr>
          <w:bCs/>
          <w:i/>
          <w:color w:val="000000"/>
          <w:vertAlign w:val="subscript"/>
          <w:lang w:val="en-US"/>
        </w:rPr>
        <w:t>y</w:t>
      </w:r>
      <w:r w:rsidRPr="00CE623C">
        <w:rPr>
          <w:bCs/>
          <w:iCs/>
          <w:color w:val="000000"/>
          <w:lang w:val="en-US"/>
        </w:rPr>
        <w:t>SiO</w:t>
      </w:r>
      <w:proofErr w:type="spellEnd"/>
      <w:r w:rsidRPr="00CE623C">
        <w:rPr>
          <w:bCs/>
          <w:iCs/>
          <w:color w:val="000000"/>
          <w:vertAlign w:val="subscript"/>
        </w:rPr>
        <w:t>4</w:t>
      </w:r>
      <w:r w:rsidRPr="00CE623C">
        <w:rPr>
          <w:bCs/>
          <w:iCs/>
          <w:color w:val="000000"/>
        </w:rPr>
        <w:t xml:space="preserve"> (</w:t>
      </w:r>
      <w:r w:rsidRPr="00CE623C">
        <w:rPr>
          <w:bCs/>
          <w:i/>
          <w:color w:val="000000"/>
          <w:lang w:val="en-US"/>
        </w:rPr>
        <w:t>y</w:t>
      </w:r>
      <w:r w:rsidRPr="00CE623C">
        <w:rPr>
          <w:bCs/>
          <w:iCs/>
          <w:color w:val="000000"/>
        </w:rPr>
        <w:t xml:space="preserve"> = 0.25, 0.5, 0.75) </w:t>
      </w:r>
      <w:r w:rsidR="00147B5E" w:rsidRPr="00CE623C">
        <w:rPr>
          <w:color w:val="000000"/>
        </w:rPr>
        <w:t xml:space="preserve">позволяет получить однофазные </w:t>
      </w:r>
      <w:proofErr w:type="spellStart"/>
      <w:r w:rsidR="00147B5E" w:rsidRPr="00CE623C">
        <w:rPr>
          <w:color w:val="000000"/>
        </w:rPr>
        <w:t>глазеритоподобные</w:t>
      </w:r>
      <w:proofErr w:type="spellEnd"/>
      <w:r w:rsidR="00147B5E" w:rsidRPr="00CE623C">
        <w:rPr>
          <w:color w:val="000000"/>
        </w:rPr>
        <w:t xml:space="preserve"> соединения. </w:t>
      </w:r>
      <w:r w:rsidR="009561B8" w:rsidRPr="00CE623C">
        <w:rPr>
          <w:color w:val="000000"/>
        </w:rPr>
        <w:t>Усложнение катионного и анионного состава способствует стабилизации высокотемпературной фазы даже при медленном охлаждении.</w:t>
      </w:r>
      <w:r w:rsidR="00027DAF" w:rsidRPr="00CE623C">
        <w:rPr>
          <w:color w:val="000000"/>
        </w:rPr>
        <w:t xml:space="preserve"> </w:t>
      </w:r>
      <w:r w:rsidR="00147B5E" w:rsidRPr="00CE623C">
        <w:rPr>
          <w:color w:val="000000"/>
        </w:rPr>
        <w:t xml:space="preserve">Из полученных порошков методом стереолитографической 3D-печати сформированы макропористые скаффолды с архитектурой, обеспечивающей условия для прорастания тканей и ангиогенеза. </w:t>
      </w:r>
      <w:r w:rsidR="00396BB8" w:rsidRPr="00CE623C">
        <w:rPr>
          <w:color w:val="000000"/>
        </w:rPr>
        <w:t>Модельная к</w:t>
      </w:r>
      <w:r w:rsidR="00147B5E" w:rsidRPr="00CE623C">
        <w:rPr>
          <w:color w:val="000000"/>
        </w:rPr>
        <w:t xml:space="preserve">ерамика состава </w:t>
      </w:r>
      <w:r w:rsidR="00396BB8" w:rsidRPr="00CE623C">
        <w:rPr>
          <w:bCs/>
          <w:iCs/>
          <w:color w:val="000000"/>
          <w:lang w:val="en-US"/>
        </w:rPr>
        <w:t>Ca</w:t>
      </w:r>
      <w:r w:rsidR="00396BB8" w:rsidRPr="00CE623C">
        <w:rPr>
          <w:bCs/>
          <w:iCs/>
          <w:color w:val="000000"/>
          <w:vertAlign w:val="subscript"/>
        </w:rPr>
        <w:t>6.3</w:t>
      </w:r>
      <w:r w:rsidR="00396BB8" w:rsidRPr="00CE623C">
        <w:rPr>
          <w:bCs/>
          <w:iCs/>
          <w:color w:val="000000"/>
          <w:lang w:val="en-US"/>
        </w:rPr>
        <w:t>Mg</w:t>
      </w:r>
      <w:r w:rsidR="00396BB8" w:rsidRPr="00CE623C">
        <w:rPr>
          <w:bCs/>
          <w:iCs/>
          <w:color w:val="000000"/>
          <w:vertAlign w:val="subscript"/>
        </w:rPr>
        <w:t>0.175</w:t>
      </w:r>
      <w:r w:rsidR="00396BB8" w:rsidRPr="00CE623C">
        <w:rPr>
          <w:bCs/>
          <w:iCs/>
          <w:color w:val="000000"/>
          <w:lang w:val="en-US"/>
        </w:rPr>
        <w:t>Sr</w:t>
      </w:r>
      <w:r w:rsidR="00396BB8" w:rsidRPr="00CE623C">
        <w:rPr>
          <w:bCs/>
          <w:iCs/>
          <w:color w:val="000000"/>
          <w:vertAlign w:val="subscript"/>
        </w:rPr>
        <w:t>0.175</w:t>
      </w:r>
      <w:r w:rsidR="00396BB8" w:rsidRPr="00CE623C">
        <w:rPr>
          <w:bCs/>
          <w:iCs/>
          <w:color w:val="000000"/>
          <w:lang w:val="en-US"/>
        </w:rPr>
        <w:t>Cu</w:t>
      </w:r>
      <w:r w:rsidR="00396BB8" w:rsidRPr="00CE623C">
        <w:rPr>
          <w:bCs/>
          <w:iCs/>
          <w:color w:val="000000"/>
          <w:vertAlign w:val="subscript"/>
        </w:rPr>
        <w:t>0.175</w:t>
      </w:r>
      <w:r w:rsidR="00396BB8" w:rsidRPr="00CE623C">
        <w:rPr>
          <w:bCs/>
          <w:iCs/>
          <w:color w:val="000000"/>
          <w:lang w:val="en-US"/>
        </w:rPr>
        <w:t>Zn</w:t>
      </w:r>
      <w:r w:rsidR="00396BB8" w:rsidRPr="00CE623C">
        <w:rPr>
          <w:bCs/>
          <w:iCs/>
          <w:color w:val="000000"/>
          <w:vertAlign w:val="subscript"/>
        </w:rPr>
        <w:t>0.175</w:t>
      </w:r>
      <w:r w:rsidR="00396BB8" w:rsidRPr="00CE623C">
        <w:rPr>
          <w:bCs/>
          <w:iCs/>
          <w:color w:val="000000"/>
          <w:lang w:val="en-US"/>
        </w:rPr>
        <w:t>Na</w:t>
      </w:r>
      <w:r w:rsidR="00396BB8" w:rsidRPr="00CE623C">
        <w:rPr>
          <w:bCs/>
          <w:iCs/>
          <w:color w:val="000000"/>
          <w:vertAlign w:val="subscript"/>
        </w:rPr>
        <w:t>1.5</w:t>
      </w:r>
      <w:r w:rsidR="00396BB8" w:rsidRPr="00CE623C">
        <w:rPr>
          <w:bCs/>
          <w:iCs/>
          <w:color w:val="000000"/>
          <w:lang w:val="en-US"/>
        </w:rPr>
        <w:t>K</w:t>
      </w:r>
      <w:r w:rsidR="00396BB8" w:rsidRPr="00CE623C">
        <w:rPr>
          <w:bCs/>
          <w:iCs/>
          <w:color w:val="000000"/>
          <w:vertAlign w:val="subscript"/>
        </w:rPr>
        <w:t>1.5</w:t>
      </w:r>
      <w:r w:rsidR="00396BB8" w:rsidRPr="00CE623C">
        <w:rPr>
          <w:bCs/>
          <w:iCs/>
          <w:color w:val="000000"/>
        </w:rPr>
        <w:t>(</w:t>
      </w:r>
      <w:r w:rsidR="00396BB8" w:rsidRPr="00CE623C">
        <w:rPr>
          <w:bCs/>
          <w:iCs/>
          <w:color w:val="000000"/>
          <w:lang w:val="en-US"/>
        </w:rPr>
        <w:t>PO</w:t>
      </w:r>
      <w:r w:rsidR="00396BB8" w:rsidRPr="00CE623C">
        <w:rPr>
          <w:bCs/>
          <w:iCs/>
          <w:color w:val="000000"/>
          <w:vertAlign w:val="subscript"/>
        </w:rPr>
        <w:t>4</w:t>
      </w:r>
      <w:r w:rsidR="00396BB8" w:rsidRPr="00CE623C">
        <w:rPr>
          <w:bCs/>
          <w:iCs/>
          <w:color w:val="000000"/>
        </w:rPr>
        <w:t>)</w:t>
      </w:r>
      <w:r w:rsidR="00396BB8" w:rsidRPr="00CE623C">
        <w:rPr>
          <w:bCs/>
          <w:iCs/>
          <w:color w:val="000000"/>
          <w:vertAlign w:val="subscript"/>
        </w:rPr>
        <w:t>5</w:t>
      </w:r>
      <w:r w:rsidR="00396BB8" w:rsidRPr="00CE623C">
        <w:rPr>
          <w:bCs/>
          <w:iCs/>
          <w:color w:val="000000"/>
        </w:rPr>
        <w:t>(</w:t>
      </w:r>
      <w:proofErr w:type="spellStart"/>
      <w:r w:rsidR="00396BB8" w:rsidRPr="00CE623C">
        <w:rPr>
          <w:bCs/>
          <w:iCs/>
          <w:color w:val="000000"/>
          <w:lang w:val="en-US"/>
        </w:rPr>
        <w:t>SiO</w:t>
      </w:r>
      <w:proofErr w:type="spellEnd"/>
      <w:r w:rsidR="00396BB8" w:rsidRPr="00CE623C">
        <w:rPr>
          <w:bCs/>
          <w:iCs/>
          <w:color w:val="000000"/>
          <w:vertAlign w:val="subscript"/>
        </w:rPr>
        <w:t>4</w:t>
      </w:r>
      <w:r w:rsidR="00396BB8" w:rsidRPr="00CE623C">
        <w:rPr>
          <w:bCs/>
          <w:iCs/>
          <w:color w:val="000000"/>
        </w:rPr>
        <w:t>)</w:t>
      </w:r>
      <w:r w:rsidR="00396BB8" w:rsidRPr="00CE623C">
        <w:rPr>
          <w:bCs/>
          <w:iCs/>
          <w:color w:val="000000"/>
          <w:vertAlign w:val="subscript"/>
        </w:rPr>
        <w:t>0.25</w:t>
      </w:r>
      <w:r w:rsidR="00396BB8" w:rsidRPr="00CE623C">
        <w:rPr>
          <w:bCs/>
          <w:iCs/>
          <w:color w:val="000000"/>
        </w:rPr>
        <w:t>(</w:t>
      </w:r>
      <w:proofErr w:type="spellStart"/>
      <w:r w:rsidR="00396BB8" w:rsidRPr="00CE623C">
        <w:rPr>
          <w:bCs/>
          <w:iCs/>
          <w:color w:val="000000"/>
          <w:lang w:val="en-US"/>
        </w:rPr>
        <w:t>GeO</w:t>
      </w:r>
      <w:proofErr w:type="spellEnd"/>
      <w:r w:rsidR="00396BB8" w:rsidRPr="00CE623C">
        <w:rPr>
          <w:bCs/>
          <w:iCs/>
          <w:color w:val="000000"/>
          <w:vertAlign w:val="subscript"/>
        </w:rPr>
        <w:t>4</w:t>
      </w:r>
      <w:r w:rsidR="00396BB8" w:rsidRPr="00CE623C">
        <w:rPr>
          <w:bCs/>
          <w:iCs/>
          <w:color w:val="000000"/>
        </w:rPr>
        <w:t>)</w:t>
      </w:r>
      <w:r w:rsidR="00396BB8" w:rsidRPr="00CE623C">
        <w:rPr>
          <w:bCs/>
          <w:iCs/>
          <w:color w:val="000000"/>
          <w:vertAlign w:val="subscript"/>
        </w:rPr>
        <w:t>0.25</w:t>
      </w:r>
      <w:r w:rsidR="00147B5E" w:rsidRPr="00CE623C">
        <w:rPr>
          <w:color w:val="000000"/>
        </w:rPr>
        <w:t xml:space="preserve"> демонстрирует линейную усадку ~25 %</w:t>
      </w:r>
      <w:r w:rsidR="002D071C" w:rsidRPr="00CE623C">
        <w:rPr>
          <w:color w:val="000000"/>
        </w:rPr>
        <w:t xml:space="preserve">, </w:t>
      </w:r>
      <w:r w:rsidR="00147B5E" w:rsidRPr="00CE623C">
        <w:rPr>
          <w:color w:val="000000"/>
        </w:rPr>
        <w:t xml:space="preserve">размер </w:t>
      </w:r>
      <w:r w:rsidR="00FD57AC" w:rsidRPr="00CE623C">
        <w:rPr>
          <w:color w:val="000000"/>
        </w:rPr>
        <w:t>зерен</w:t>
      </w:r>
      <w:r w:rsidR="00147B5E" w:rsidRPr="00CE623C">
        <w:rPr>
          <w:color w:val="000000"/>
        </w:rPr>
        <w:t xml:space="preserve"> 20–40 мкм. </w:t>
      </w:r>
      <w:r w:rsidR="002334CA" w:rsidRPr="00CE623C">
        <w:rPr>
          <w:bCs/>
          <w:iCs/>
          <w:color w:val="000000"/>
        </w:rPr>
        <w:t xml:space="preserve">На границах зерен вероятно образование </w:t>
      </w:r>
      <w:proofErr w:type="spellStart"/>
      <w:r w:rsidR="002334CA" w:rsidRPr="00CE623C">
        <w:rPr>
          <w:bCs/>
          <w:iCs/>
          <w:color w:val="000000"/>
        </w:rPr>
        <w:t>стеклофазы</w:t>
      </w:r>
      <w:proofErr w:type="spellEnd"/>
      <w:r w:rsidR="002334CA" w:rsidRPr="00CE623C">
        <w:rPr>
          <w:bCs/>
          <w:iCs/>
          <w:color w:val="000000"/>
        </w:rPr>
        <w:t>, обогащенной тяжелыми элементами и предположительно выступающей в качестве жидкофазной добавки при спекании.</w:t>
      </w:r>
    </w:p>
    <w:p w14:paraId="272B3EB9" w14:textId="31D3C1D0" w:rsidR="00147B5E" w:rsidRPr="00147B5E" w:rsidRDefault="00147B5E" w:rsidP="00147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7B5E">
        <w:rPr>
          <w:color w:val="000000"/>
        </w:rPr>
        <w:t xml:space="preserve">Исследования растворения в модельных физиологических средах показали, что многокомпонентные </w:t>
      </w:r>
      <w:proofErr w:type="spellStart"/>
      <w:r w:rsidRPr="00147B5E">
        <w:rPr>
          <w:color w:val="000000"/>
        </w:rPr>
        <w:t>глазеритоподобные</w:t>
      </w:r>
      <w:proofErr w:type="spellEnd"/>
      <w:r w:rsidRPr="00147B5E">
        <w:rPr>
          <w:color w:val="000000"/>
        </w:rPr>
        <w:t xml:space="preserve"> </w:t>
      </w:r>
      <w:r w:rsidR="00E86E3B">
        <w:rPr>
          <w:color w:val="000000"/>
        </w:rPr>
        <w:t>составы</w:t>
      </w:r>
      <w:r w:rsidRPr="00147B5E">
        <w:rPr>
          <w:color w:val="000000"/>
        </w:rPr>
        <w:t xml:space="preserve"> обладают </w:t>
      </w:r>
      <w:r w:rsidR="00E86E3B">
        <w:rPr>
          <w:color w:val="000000"/>
        </w:rPr>
        <w:t>улучшенной динамикой</w:t>
      </w:r>
      <w:r w:rsidRPr="00147B5E">
        <w:rPr>
          <w:color w:val="000000"/>
        </w:rPr>
        <w:t xml:space="preserve"> резорбции</w:t>
      </w:r>
      <w:r w:rsidR="00325D06">
        <w:rPr>
          <w:color w:val="000000"/>
        </w:rPr>
        <w:t>, причем в</w:t>
      </w:r>
      <w:r w:rsidRPr="00147B5E">
        <w:rPr>
          <w:color w:val="000000"/>
        </w:rPr>
        <w:t>арьирование состава позволяет целенаправленно смещать значение рН, создаваемое продуктами гидролиза, в сторону физиологического диапазона (7.35–7.45), что критически важно для предотвращения воспалительных реакций. Биологические испытания продемонстрировали отсутствие цитотоксичности и выраженн</w:t>
      </w:r>
      <w:r w:rsidR="00325D06">
        <w:rPr>
          <w:color w:val="000000"/>
        </w:rPr>
        <w:t>ую</w:t>
      </w:r>
      <w:r w:rsidRPr="00147B5E">
        <w:rPr>
          <w:color w:val="000000"/>
        </w:rPr>
        <w:t xml:space="preserve"> </w:t>
      </w:r>
      <w:r w:rsidR="00325D06">
        <w:rPr>
          <w:color w:val="000000"/>
        </w:rPr>
        <w:t>клеточную пролиферацию</w:t>
      </w:r>
      <w:r w:rsidRPr="00147B5E">
        <w:rPr>
          <w:color w:val="000000"/>
        </w:rPr>
        <w:t>: образцы, содержащие более 8 элементов, стимулировали деление фибробластов человека через 24 часа, и эта тенденция сохранялась на протяжении 7 суток.</w:t>
      </w:r>
    </w:p>
    <w:p w14:paraId="41120783" w14:textId="74BADA5E" w:rsidR="00147B5E" w:rsidRPr="00CE623C" w:rsidRDefault="00147B5E" w:rsidP="00147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623C">
        <w:rPr>
          <w:color w:val="000000"/>
        </w:rPr>
        <w:t xml:space="preserve">Таким образом, стабилизированные многокомпонентные фосфаты кальция с </w:t>
      </w:r>
      <w:proofErr w:type="spellStart"/>
      <w:r w:rsidRPr="00CE623C">
        <w:rPr>
          <w:color w:val="000000"/>
        </w:rPr>
        <w:t>глазеритоподобной</w:t>
      </w:r>
      <w:proofErr w:type="spellEnd"/>
      <w:r w:rsidRPr="00CE623C">
        <w:rPr>
          <w:color w:val="000000"/>
        </w:rPr>
        <w:t xml:space="preserve"> структурой являются перспективной основой для создания</w:t>
      </w:r>
      <w:r w:rsidR="00F22AE8" w:rsidRPr="00CE623C">
        <w:rPr>
          <w:color w:val="000000"/>
        </w:rPr>
        <w:t xml:space="preserve"> методом стереолитографической 3D-печати</w:t>
      </w:r>
      <w:r w:rsidRPr="00CE623C">
        <w:rPr>
          <w:color w:val="000000"/>
        </w:rPr>
        <w:t xml:space="preserve"> </w:t>
      </w:r>
      <w:proofErr w:type="spellStart"/>
      <w:r w:rsidRPr="00CE623C">
        <w:rPr>
          <w:color w:val="000000"/>
        </w:rPr>
        <w:t>резорбируемых</w:t>
      </w:r>
      <w:proofErr w:type="spellEnd"/>
      <w:r w:rsidRPr="00CE623C">
        <w:rPr>
          <w:color w:val="000000"/>
        </w:rPr>
        <w:t xml:space="preserve"> </w:t>
      </w:r>
      <w:proofErr w:type="spellStart"/>
      <w:r w:rsidRPr="00CE623C">
        <w:rPr>
          <w:color w:val="000000"/>
        </w:rPr>
        <w:t>остеоиндуктивных</w:t>
      </w:r>
      <w:proofErr w:type="spellEnd"/>
      <w:r w:rsidRPr="00CE623C">
        <w:rPr>
          <w:color w:val="000000"/>
        </w:rPr>
        <w:t xml:space="preserve"> имплантатов, сочетающих управляемую динамику растворения, </w:t>
      </w:r>
      <w:r w:rsidR="00761701" w:rsidRPr="00CE623C">
        <w:rPr>
          <w:bCs/>
          <w:iCs/>
          <w:color w:val="000000"/>
        </w:rPr>
        <w:t>взаимосвязанную систему макропор</w:t>
      </w:r>
      <w:r w:rsidRPr="00CE623C">
        <w:rPr>
          <w:color w:val="000000"/>
        </w:rPr>
        <w:t xml:space="preserve"> и </w:t>
      </w:r>
      <w:r w:rsidR="00761701" w:rsidRPr="00CE623C">
        <w:rPr>
          <w:color w:val="000000"/>
        </w:rPr>
        <w:t xml:space="preserve">улучшенную </w:t>
      </w:r>
      <w:proofErr w:type="spellStart"/>
      <w:r w:rsidR="00761701" w:rsidRPr="00CE623C">
        <w:rPr>
          <w:color w:val="000000"/>
        </w:rPr>
        <w:t>остеоиндуктивность</w:t>
      </w:r>
      <w:proofErr w:type="spellEnd"/>
      <w:r w:rsidRPr="00CE623C">
        <w:rPr>
          <w:color w:val="000000"/>
        </w:rPr>
        <w:t>.</w:t>
      </w:r>
    </w:p>
    <w:p w14:paraId="3486C755" w14:textId="396DE20B" w:rsidR="00116478" w:rsidRDefault="00147B5E" w:rsidP="00D57A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403DA">
        <w:rPr>
          <w:i/>
          <w:iCs/>
          <w:color w:val="000000"/>
        </w:rPr>
        <w:t>Работа выполнена при поддержке гранта РНФ № 22-19-00219-П.</w:t>
      </w:r>
    </w:p>
    <w:sectPr w:rsidR="00116478" w:rsidSect="00CE623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290"/>
    <w:rsid w:val="00027DAF"/>
    <w:rsid w:val="00063966"/>
    <w:rsid w:val="00075D6E"/>
    <w:rsid w:val="00086081"/>
    <w:rsid w:val="0009449A"/>
    <w:rsid w:val="00094FD0"/>
    <w:rsid w:val="000C3427"/>
    <w:rsid w:val="000E334E"/>
    <w:rsid w:val="00101A1C"/>
    <w:rsid w:val="00102001"/>
    <w:rsid w:val="00103657"/>
    <w:rsid w:val="00106375"/>
    <w:rsid w:val="00107AA3"/>
    <w:rsid w:val="00116478"/>
    <w:rsid w:val="00130241"/>
    <w:rsid w:val="00147B5E"/>
    <w:rsid w:val="001671AF"/>
    <w:rsid w:val="001E61C2"/>
    <w:rsid w:val="001F0493"/>
    <w:rsid w:val="001F73BE"/>
    <w:rsid w:val="0022260A"/>
    <w:rsid w:val="002264EE"/>
    <w:rsid w:val="0023307C"/>
    <w:rsid w:val="002334CA"/>
    <w:rsid w:val="00251E93"/>
    <w:rsid w:val="002B1CD0"/>
    <w:rsid w:val="002D071C"/>
    <w:rsid w:val="002D59E2"/>
    <w:rsid w:val="00310A93"/>
    <w:rsid w:val="0031361E"/>
    <w:rsid w:val="00325D06"/>
    <w:rsid w:val="003403DA"/>
    <w:rsid w:val="00344930"/>
    <w:rsid w:val="00373E2D"/>
    <w:rsid w:val="00391C38"/>
    <w:rsid w:val="00396BB8"/>
    <w:rsid w:val="003B76D6"/>
    <w:rsid w:val="003D09AD"/>
    <w:rsid w:val="003E2601"/>
    <w:rsid w:val="003F1332"/>
    <w:rsid w:val="003F4E6B"/>
    <w:rsid w:val="004A26A3"/>
    <w:rsid w:val="004D34B5"/>
    <w:rsid w:val="004F0EDF"/>
    <w:rsid w:val="005150C8"/>
    <w:rsid w:val="0052044D"/>
    <w:rsid w:val="00522BF1"/>
    <w:rsid w:val="00590166"/>
    <w:rsid w:val="005B07E6"/>
    <w:rsid w:val="005D022B"/>
    <w:rsid w:val="005E5BE9"/>
    <w:rsid w:val="00615325"/>
    <w:rsid w:val="00635184"/>
    <w:rsid w:val="00665279"/>
    <w:rsid w:val="0067310D"/>
    <w:rsid w:val="0069427D"/>
    <w:rsid w:val="006F7A19"/>
    <w:rsid w:val="00705378"/>
    <w:rsid w:val="007213E1"/>
    <w:rsid w:val="00761701"/>
    <w:rsid w:val="00775389"/>
    <w:rsid w:val="007875C8"/>
    <w:rsid w:val="00797838"/>
    <w:rsid w:val="007C36D8"/>
    <w:rsid w:val="007D41A2"/>
    <w:rsid w:val="007F2744"/>
    <w:rsid w:val="008326A8"/>
    <w:rsid w:val="00860FC2"/>
    <w:rsid w:val="008931BE"/>
    <w:rsid w:val="00896589"/>
    <w:rsid w:val="008C67E3"/>
    <w:rsid w:val="008D3016"/>
    <w:rsid w:val="00914205"/>
    <w:rsid w:val="00921D45"/>
    <w:rsid w:val="009426C0"/>
    <w:rsid w:val="009561B8"/>
    <w:rsid w:val="00980A65"/>
    <w:rsid w:val="009A47FE"/>
    <w:rsid w:val="009A66DB"/>
    <w:rsid w:val="009B2F80"/>
    <w:rsid w:val="009B3300"/>
    <w:rsid w:val="009F3380"/>
    <w:rsid w:val="00A02163"/>
    <w:rsid w:val="00A314FE"/>
    <w:rsid w:val="00AA1D62"/>
    <w:rsid w:val="00AD7380"/>
    <w:rsid w:val="00B717E4"/>
    <w:rsid w:val="00B953D4"/>
    <w:rsid w:val="00BF36F8"/>
    <w:rsid w:val="00BF4622"/>
    <w:rsid w:val="00C36346"/>
    <w:rsid w:val="00C80491"/>
    <w:rsid w:val="00C844E2"/>
    <w:rsid w:val="00CD00B1"/>
    <w:rsid w:val="00CE623C"/>
    <w:rsid w:val="00D0386E"/>
    <w:rsid w:val="00D22306"/>
    <w:rsid w:val="00D37D84"/>
    <w:rsid w:val="00D42542"/>
    <w:rsid w:val="00D57A49"/>
    <w:rsid w:val="00D77B4E"/>
    <w:rsid w:val="00D8121C"/>
    <w:rsid w:val="00DD47C4"/>
    <w:rsid w:val="00E22189"/>
    <w:rsid w:val="00E74069"/>
    <w:rsid w:val="00E81D35"/>
    <w:rsid w:val="00E86E3B"/>
    <w:rsid w:val="00E9022E"/>
    <w:rsid w:val="00EB1F49"/>
    <w:rsid w:val="00F22AE8"/>
    <w:rsid w:val="00F55054"/>
    <w:rsid w:val="00F73EE3"/>
    <w:rsid w:val="00F865B3"/>
    <w:rsid w:val="00FA2140"/>
    <w:rsid w:val="00FB1509"/>
    <w:rsid w:val="00FD57AC"/>
    <w:rsid w:val="00FD69F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2026-03-23T22:43:00Z</dcterms:created>
  <dcterms:modified xsi:type="dcterms:W3CDTF">2026-03-23T22:43:00Z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