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3693C7" w:rsidR="00130241" w:rsidRPr="00521CBB" w:rsidRDefault="00521C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керамического электролита со структурой </w:t>
      </w:r>
      <w:r>
        <w:rPr>
          <w:b/>
          <w:color w:val="000000"/>
          <w:lang w:val="en-US"/>
        </w:rPr>
        <w:t>NASICON</w:t>
      </w:r>
      <w:r w:rsidRPr="00DC304D">
        <w:rPr>
          <w:b/>
          <w:color w:val="000000"/>
        </w:rPr>
        <w:t xml:space="preserve"> </w:t>
      </w:r>
      <w:r>
        <w:rPr>
          <w:b/>
          <w:color w:val="000000"/>
        </w:rPr>
        <w:t xml:space="preserve">состава </w:t>
      </w:r>
      <w:r w:rsidR="0037334E" w:rsidRPr="00DC304D">
        <w:rPr>
          <w:b/>
          <w:color w:val="000000"/>
          <w:lang w:val="en-US"/>
        </w:rPr>
        <w:t>Li</w:t>
      </w:r>
      <w:r w:rsidR="0037334E" w:rsidRPr="00521CBB">
        <w:rPr>
          <w:b/>
          <w:color w:val="000000"/>
          <w:vertAlign w:val="subscript"/>
        </w:rPr>
        <w:t>1.4</w:t>
      </w:r>
      <w:r w:rsidR="0037334E" w:rsidRPr="00DC304D">
        <w:rPr>
          <w:b/>
          <w:color w:val="000000"/>
          <w:lang w:val="en-US"/>
        </w:rPr>
        <w:t>Al</w:t>
      </w:r>
      <w:r w:rsidR="0037334E" w:rsidRPr="00521CBB">
        <w:rPr>
          <w:b/>
          <w:color w:val="000000"/>
          <w:vertAlign w:val="subscript"/>
        </w:rPr>
        <w:t>0.4</w:t>
      </w:r>
      <w:r w:rsidR="0037334E" w:rsidRPr="00DC304D">
        <w:rPr>
          <w:b/>
          <w:color w:val="000000"/>
          <w:lang w:val="en-US"/>
        </w:rPr>
        <w:t>Ti</w:t>
      </w:r>
      <w:r w:rsidR="0037334E" w:rsidRPr="00521CBB">
        <w:rPr>
          <w:b/>
          <w:color w:val="000000"/>
          <w:vertAlign w:val="subscript"/>
        </w:rPr>
        <w:t>1.6</w:t>
      </w:r>
      <w:r w:rsidR="0037334E" w:rsidRPr="00521CBB">
        <w:rPr>
          <w:b/>
          <w:color w:val="000000"/>
        </w:rPr>
        <w:t>(</w:t>
      </w:r>
      <w:r w:rsidR="0037334E" w:rsidRPr="00DC304D">
        <w:rPr>
          <w:b/>
          <w:color w:val="000000"/>
          <w:lang w:val="en-US"/>
        </w:rPr>
        <w:t>PO</w:t>
      </w:r>
      <w:r w:rsidR="0037334E" w:rsidRPr="00521CBB">
        <w:rPr>
          <w:b/>
          <w:color w:val="000000"/>
          <w:vertAlign w:val="subscript"/>
        </w:rPr>
        <w:t>4</w:t>
      </w:r>
      <w:r w:rsidR="0037334E" w:rsidRPr="00521CBB">
        <w:rPr>
          <w:b/>
          <w:color w:val="000000"/>
        </w:rPr>
        <w:t>)</w:t>
      </w:r>
      <w:r w:rsidR="0037334E" w:rsidRPr="00521CBB">
        <w:rPr>
          <w:b/>
          <w:color w:val="000000"/>
          <w:vertAlign w:val="subscript"/>
        </w:rPr>
        <w:t>3</w:t>
      </w:r>
    </w:p>
    <w:p w14:paraId="528DA58B" w14:textId="77777777" w:rsidR="00B56D95" w:rsidRDefault="00373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Марова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Pr="0037334E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Яковлев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521CBB">
        <w:rPr>
          <w:b/>
          <w:i/>
          <w:color w:val="000000"/>
          <w:vertAlign w:val="superscript"/>
        </w:rPr>
        <w:t>,3</w:t>
      </w:r>
      <w:r w:rsidRPr="0037334E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Кирьянова А.В.</w:t>
      </w:r>
      <w:r w:rsidRPr="00BF4622">
        <w:rPr>
          <w:b/>
          <w:i/>
          <w:color w:val="000000"/>
          <w:vertAlign w:val="superscript"/>
        </w:rPr>
        <w:t>2</w:t>
      </w:r>
      <w:r w:rsidRPr="0037334E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Капитанова О.О.</w:t>
      </w:r>
      <w:r w:rsidR="00521CBB">
        <w:rPr>
          <w:b/>
          <w:i/>
          <w:color w:val="000000"/>
          <w:vertAlign w:val="superscript"/>
        </w:rPr>
        <w:t>3</w:t>
      </w:r>
    </w:p>
    <w:p w14:paraId="00000003" w14:textId="4F015C10" w:rsidR="00130241" w:rsidRDefault="00EB1F49" w:rsidP="009E2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37334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1FE7AD78" w14:textId="15F6A7EB" w:rsidR="0037334E" w:rsidRDefault="0037334E" w:rsidP="009E2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РХТУ имени Д</w:t>
      </w:r>
      <w:r w:rsidRPr="0037334E">
        <w:rPr>
          <w:i/>
          <w:color w:val="000000"/>
        </w:rPr>
        <w:t>.</w:t>
      </w:r>
      <w:r>
        <w:rPr>
          <w:i/>
          <w:color w:val="000000"/>
        </w:rPr>
        <w:t>И</w:t>
      </w:r>
      <w:r w:rsidRPr="0037334E">
        <w:rPr>
          <w:i/>
          <w:color w:val="000000"/>
        </w:rPr>
        <w:t>.</w:t>
      </w:r>
      <w:r>
        <w:rPr>
          <w:i/>
          <w:color w:val="000000"/>
        </w:rPr>
        <w:t xml:space="preserve"> Менделеева</w:t>
      </w:r>
      <w:r w:rsidRPr="002B1CD0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</w:p>
    <w:p w14:paraId="77A81D33" w14:textId="77777777" w:rsidR="00B56D95" w:rsidRDefault="00521CBB" w:rsidP="009E2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</w:t>
      </w:r>
      <w:r w:rsidRPr="0013046C">
        <w:rPr>
          <w:i/>
          <w:color w:val="000000" w:themeColor="text1"/>
        </w:rPr>
        <w:t>, факультет наук о материалах, Москва, Россия</w:t>
      </w:r>
    </w:p>
    <w:p w14:paraId="54048D80" w14:textId="77777777" w:rsidR="00B56D95" w:rsidRPr="00B56D95" w:rsidRDefault="00521CBB" w:rsidP="009E2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56D95">
        <w:rPr>
          <w:i/>
          <w:color w:val="000000"/>
          <w:vertAlign w:val="superscript"/>
        </w:rPr>
        <w:t>3</w:t>
      </w:r>
      <w:r w:rsidRPr="00B56D95">
        <w:rPr>
          <w:i/>
          <w:color w:val="000000"/>
        </w:rPr>
        <w:t xml:space="preserve">МГУ </w:t>
      </w:r>
      <w:r w:rsidR="00EB1F49" w:rsidRPr="00B56D95">
        <w:rPr>
          <w:i/>
          <w:color w:val="000000"/>
        </w:rPr>
        <w:t>имени М.В.</w:t>
      </w:r>
      <w:r w:rsidR="00921D45" w:rsidRPr="00B56D95">
        <w:rPr>
          <w:i/>
          <w:color w:val="000000"/>
        </w:rPr>
        <w:t xml:space="preserve"> </w:t>
      </w:r>
      <w:r w:rsidR="00EB1F49" w:rsidRPr="00B56D95">
        <w:rPr>
          <w:i/>
          <w:color w:val="000000"/>
        </w:rPr>
        <w:t>Ломоносова,</w:t>
      </w:r>
      <w:r w:rsidR="00AD7380" w:rsidRPr="00B56D95">
        <w:rPr>
          <w:i/>
          <w:color w:val="000000"/>
        </w:rPr>
        <w:t xml:space="preserve"> </w:t>
      </w:r>
      <w:r w:rsidR="00391C38" w:rsidRPr="00B56D95">
        <w:rPr>
          <w:i/>
          <w:color w:val="000000"/>
        </w:rPr>
        <w:t>химический</w:t>
      </w:r>
      <w:r w:rsidR="00EB1F49" w:rsidRPr="00B56D95">
        <w:rPr>
          <w:i/>
          <w:color w:val="000000"/>
        </w:rPr>
        <w:t xml:space="preserve"> факультет, Москва, Россия</w:t>
      </w:r>
    </w:p>
    <w:p w14:paraId="00000008" w14:textId="65C7A3E5" w:rsidR="00130241" w:rsidRPr="009E25A1" w:rsidRDefault="00EB1F49" w:rsidP="009E2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E25A1">
        <w:rPr>
          <w:i/>
          <w:color w:val="000000"/>
          <w:lang w:val="en-US"/>
        </w:rPr>
        <w:t>E</w:t>
      </w:r>
      <w:r w:rsidR="003B76D6" w:rsidRPr="009E25A1">
        <w:rPr>
          <w:i/>
          <w:color w:val="000000"/>
          <w:lang w:val="en-US"/>
        </w:rPr>
        <w:t>-</w:t>
      </w:r>
      <w:r w:rsidRPr="009E25A1">
        <w:rPr>
          <w:i/>
          <w:color w:val="000000"/>
          <w:lang w:val="en-US"/>
        </w:rPr>
        <w:t xml:space="preserve">mail: </w:t>
      </w:r>
      <w:hyperlink r:id="rId6" w:history="1">
        <w:r w:rsidR="0037334E" w:rsidRPr="00B56D95">
          <w:rPr>
            <w:rStyle w:val="a9"/>
            <w:i/>
            <w:color w:val="000000"/>
            <w:lang w:val="en-US"/>
          </w:rPr>
          <w:t>myaafff</w:t>
        </w:r>
        <w:r w:rsidR="0037334E" w:rsidRPr="009E25A1">
          <w:rPr>
            <w:rStyle w:val="a9"/>
            <w:i/>
            <w:color w:val="000000"/>
            <w:lang w:val="en-US"/>
          </w:rPr>
          <w:t>@</w:t>
        </w:r>
        <w:r w:rsidR="0037334E" w:rsidRPr="00B56D95">
          <w:rPr>
            <w:rStyle w:val="a9"/>
            <w:i/>
            <w:color w:val="000000"/>
            <w:lang w:val="en-US"/>
          </w:rPr>
          <w:t>gmail</w:t>
        </w:r>
        <w:r w:rsidR="0037334E" w:rsidRPr="009E25A1">
          <w:rPr>
            <w:rStyle w:val="a9"/>
            <w:i/>
            <w:color w:val="000000"/>
            <w:lang w:val="en-US"/>
          </w:rPr>
          <w:t>.</w:t>
        </w:r>
        <w:r w:rsidR="0037334E" w:rsidRPr="00B56D95">
          <w:rPr>
            <w:rStyle w:val="a9"/>
            <w:i/>
            <w:color w:val="000000"/>
            <w:lang w:val="en-US"/>
          </w:rPr>
          <w:t>com</w:t>
        </w:r>
      </w:hyperlink>
    </w:p>
    <w:p w14:paraId="0DBB9698" w14:textId="7FE43575" w:rsidR="00151F15" w:rsidRDefault="0063593B" w:rsidP="00B56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eastAsia="Calibri"/>
          <w:color w:val="000000"/>
        </w:rPr>
      </w:pPr>
      <w:r w:rsidRPr="0063593B">
        <w:rPr>
          <w:rFonts w:eastAsia="Calibri"/>
          <w:color w:val="000000"/>
        </w:rPr>
        <w:t>Стремительное развитие науки и технологий усиливает спрос на безопасные и экологически устойчивые источники энергии. Литий‑ионные аккумуляторы широко применяются благодаря высокой энергоёмкости, быстрой зарядке и длительному сроку службы, однако использование жидких органических электролитов связано с риском утечек и сниженной термической стабильностью. В связи с этим перспективным направлением является переход к твердотельным электролитам, обладающим большей химической и термической устойчивостью. В работе выбран керамический твердый электролит состава Li</w:t>
      </w:r>
      <w:proofErr w:type="gramStart"/>
      <w:r w:rsidRPr="0063593B">
        <w:rPr>
          <w:rFonts w:eastAsia="Calibri"/>
          <w:color w:val="000000"/>
        </w:rPr>
        <w:t>₁.₄</w:t>
      </w:r>
      <w:proofErr w:type="gramEnd"/>
      <w:r w:rsidRPr="0063593B">
        <w:rPr>
          <w:rFonts w:eastAsia="Calibri"/>
          <w:color w:val="000000"/>
        </w:rPr>
        <w:t>Al</w:t>
      </w:r>
      <w:proofErr w:type="gramStart"/>
      <w:r w:rsidRPr="0063593B">
        <w:rPr>
          <w:rFonts w:eastAsia="Calibri"/>
          <w:color w:val="000000"/>
        </w:rPr>
        <w:t>₀.₄</w:t>
      </w:r>
      <w:proofErr w:type="spellStart"/>
      <w:proofErr w:type="gramEnd"/>
      <w:r w:rsidRPr="0063593B">
        <w:rPr>
          <w:rFonts w:eastAsia="Calibri"/>
          <w:color w:val="000000"/>
        </w:rPr>
        <w:t>Ti</w:t>
      </w:r>
      <w:proofErr w:type="spellEnd"/>
      <w:proofErr w:type="gramStart"/>
      <w:r w:rsidRPr="0063593B">
        <w:rPr>
          <w:rFonts w:eastAsia="Calibri"/>
          <w:color w:val="000000"/>
        </w:rPr>
        <w:t>₁.₆</w:t>
      </w:r>
      <w:proofErr w:type="gramEnd"/>
      <w:r w:rsidRPr="0063593B">
        <w:rPr>
          <w:rFonts w:eastAsia="Calibri"/>
          <w:color w:val="000000"/>
        </w:rPr>
        <w:t>(PO</w:t>
      </w:r>
      <w:proofErr w:type="gramStart"/>
      <w:r w:rsidRPr="0063593B">
        <w:rPr>
          <w:rFonts w:eastAsia="Calibri"/>
          <w:color w:val="000000"/>
        </w:rPr>
        <w:t>₄)₃</w:t>
      </w:r>
      <w:proofErr w:type="gramEnd"/>
      <w:r w:rsidRPr="0063593B">
        <w:rPr>
          <w:rFonts w:eastAsia="Calibri"/>
          <w:color w:val="000000"/>
        </w:rPr>
        <w:t xml:space="preserve"> (LATP), поскольку его ионная проводимость определяется вкладом объёма зёрен и границ</w:t>
      </w:r>
      <w:r w:rsidR="00151F15">
        <w:rPr>
          <w:rFonts w:eastAsia="Calibri"/>
          <w:color w:val="000000"/>
        </w:rPr>
        <w:t xml:space="preserve"> между зернами</w:t>
      </w:r>
      <w:r w:rsidRPr="0063593B">
        <w:rPr>
          <w:rFonts w:eastAsia="Calibri"/>
          <w:color w:val="000000"/>
        </w:rPr>
        <w:t xml:space="preserve">, причём перенос ионов лития внутри зерна протекает значительно эффективнее, чем через границы, характеризующиеся повышенным сопротивлением. Следовательно, увеличение среднего размера зёрен снижает долю границ </w:t>
      </w:r>
      <w:r w:rsidR="00151F15">
        <w:rPr>
          <w:rFonts w:eastAsia="Calibri"/>
          <w:color w:val="000000"/>
        </w:rPr>
        <w:t xml:space="preserve">между зернами </w:t>
      </w:r>
      <w:r w:rsidRPr="0063593B">
        <w:rPr>
          <w:rFonts w:eastAsia="Calibri"/>
          <w:color w:val="000000"/>
        </w:rPr>
        <w:t>и уменьшает их вклад в общее сопротивление материала. По этой причине</w:t>
      </w:r>
      <w:r w:rsidR="00521CBB">
        <w:rPr>
          <w:rFonts w:eastAsia="Calibri"/>
          <w:color w:val="000000"/>
        </w:rPr>
        <w:t xml:space="preserve"> целью работы была оптимизация условий синтеза </w:t>
      </w:r>
      <w:r w:rsidRPr="0063593B">
        <w:rPr>
          <w:rFonts w:eastAsia="Calibri"/>
          <w:color w:val="000000"/>
        </w:rPr>
        <w:t>крупнозернистой керамики LATP</w:t>
      </w:r>
      <w:r w:rsidR="00521CBB">
        <w:rPr>
          <w:rFonts w:eastAsia="Calibri"/>
          <w:color w:val="000000"/>
        </w:rPr>
        <w:t xml:space="preserve"> для достижения высокой ионной проводимости</w:t>
      </w:r>
      <w:r w:rsidRPr="0063593B">
        <w:rPr>
          <w:rFonts w:eastAsia="Calibri"/>
          <w:color w:val="000000"/>
        </w:rPr>
        <w:t>.</w:t>
      </w:r>
    </w:p>
    <w:p w14:paraId="07A499D8" w14:textId="5C1A816E" w:rsidR="00B56D95" w:rsidRDefault="003B1F44" w:rsidP="00B56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eastAsia="Calibri"/>
          <w:color w:val="000000"/>
        </w:rPr>
      </w:pPr>
      <w:r w:rsidRPr="00A072F9">
        <w:rPr>
          <w:rFonts w:eastAsia="Calibri"/>
          <w:color w:val="000000"/>
        </w:rPr>
        <w:t xml:space="preserve">Получение </w:t>
      </w:r>
      <w:proofErr w:type="spellStart"/>
      <w:r w:rsidR="00521CBB">
        <w:rPr>
          <w:rFonts w:eastAsia="Calibri"/>
          <w:color w:val="000000"/>
        </w:rPr>
        <w:t>предкерамического</w:t>
      </w:r>
      <w:proofErr w:type="spellEnd"/>
      <w:r w:rsidR="00521CBB">
        <w:rPr>
          <w:rFonts w:eastAsia="Calibri"/>
          <w:color w:val="000000"/>
        </w:rPr>
        <w:t xml:space="preserve"> прекурсора</w:t>
      </w:r>
      <w:r w:rsidR="00521CBB" w:rsidRPr="00A072F9">
        <w:rPr>
          <w:rFonts w:eastAsia="Calibri"/>
          <w:color w:val="000000"/>
        </w:rPr>
        <w:t xml:space="preserve"> </w:t>
      </w:r>
      <w:r w:rsidRPr="00A072F9">
        <w:rPr>
          <w:rFonts w:eastAsia="Calibri"/>
          <w:color w:val="000000"/>
        </w:rPr>
        <w:t xml:space="preserve">LATP с микронным размером осуществляли методом твердофазной реакции. Из полученного порошка формовали таблетки, которые подвергали спеканию при различных температурно-временных режимах. Формирование крупнозернистой структуры требует повышенных температур </w:t>
      </w:r>
      <w:r w:rsidR="00F847A7">
        <w:rPr>
          <w:rFonts w:eastAsia="Calibri"/>
          <w:color w:val="000000"/>
        </w:rPr>
        <w:t>(</w:t>
      </w:r>
      <w:r w:rsidR="00F847A7" w:rsidRPr="00DC304D">
        <w:rPr>
          <w:rFonts w:eastAsia="Calibri"/>
          <w:color w:val="000000"/>
        </w:rPr>
        <w:t>&gt;</w:t>
      </w:r>
      <w:r w:rsidR="00F847A7">
        <w:rPr>
          <w:rFonts w:eastAsia="Calibri"/>
          <w:color w:val="000000"/>
        </w:rPr>
        <w:t>1000</w:t>
      </w:r>
      <w:r w:rsidR="00F847A7">
        <w:rPr>
          <w:rFonts w:eastAsia="Calibri"/>
          <w:color w:val="000000"/>
        </w:rPr>
        <w:sym w:font="Symbol" w:char="F0B0"/>
      </w:r>
      <w:r w:rsidR="00F847A7">
        <w:rPr>
          <w:rFonts w:eastAsia="Calibri"/>
          <w:color w:val="000000"/>
        </w:rPr>
        <w:t xml:space="preserve">С) </w:t>
      </w:r>
      <w:r w:rsidRPr="00A072F9">
        <w:rPr>
          <w:rFonts w:eastAsia="Calibri"/>
          <w:color w:val="000000"/>
        </w:rPr>
        <w:t xml:space="preserve">как на стадии синтеза, так и при последующем </w:t>
      </w:r>
      <w:proofErr w:type="spellStart"/>
      <w:proofErr w:type="gramStart"/>
      <w:r w:rsidRPr="00A072F9">
        <w:rPr>
          <w:rFonts w:eastAsia="Calibri"/>
          <w:color w:val="000000"/>
        </w:rPr>
        <w:t>спекании</w:t>
      </w:r>
      <w:r w:rsidR="00151F15" w:rsidRPr="00A072F9">
        <w:rPr>
          <w:rFonts w:eastAsia="Calibri"/>
          <w:color w:val="000000"/>
        </w:rPr>
        <w:t>.</w:t>
      </w:r>
      <w:r w:rsidRPr="00A072F9">
        <w:rPr>
          <w:rFonts w:eastAsia="Calibri"/>
          <w:color w:val="000000"/>
        </w:rPr>
        <w:t>Существенным</w:t>
      </w:r>
      <w:proofErr w:type="spellEnd"/>
      <w:proofErr w:type="gramEnd"/>
      <w:r w:rsidRPr="00A072F9">
        <w:rPr>
          <w:rFonts w:eastAsia="Calibri"/>
          <w:color w:val="000000"/>
        </w:rPr>
        <w:t xml:space="preserve"> ограничением является летучесть </w:t>
      </w:r>
      <w:r w:rsidR="00F847A7">
        <w:rPr>
          <w:rFonts w:eastAsia="Calibri"/>
          <w:color w:val="000000"/>
        </w:rPr>
        <w:t xml:space="preserve">соединений </w:t>
      </w:r>
      <w:r w:rsidRPr="00A072F9">
        <w:rPr>
          <w:rFonts w:eastAsia="Calibri"/>
          <w:color w:val="000000"/>
        </w:rPr>
        <w:t xml:space="preserve">лития при высоких температурах, вызывающая снижение </w:t>
      </w:r>
      <w:r w:rsidR="00F847A7">
        <w:rPr>
          <w:rFonts w:eastAsia="Calibri"/>
          <w:color w:val="000000"/>
        </w:rPr>
        <w:t>ионной проводимости электролита</w:t>
      </w:r>
      <w:r w:rsidRPr="00A072F9">
        <w:rPr>
          <w:rFonts w:eastAsia="Calibri"/>
          <w:color w:val="000000"/>
        </w:rPr>
        <w:t xml:space="preserve">. Для компенсации данных потерь </w:t>
      </w:r>
      <w:r w:rsidR="00F847A7">
        <w:rPr>
          <w:rFonts w:eastAsia="Calibri"/>
          <w:color w:val="000000"/>
        </w:rPr>
        <w:t>использовали</w:t>
      </w:r>
      <w:r w:rsidR="00F847A7" w:rsidRPr="00A072F9">
        <w:rPr>
          <w:rFonts w:eastAsia="Calibri"/>
          <w:color w:val="000000"/>
        </w:rPr>
        <w:t xml:space="preserve"> </w:t>
      </w:r>
      <w:r w:rsidRPr="00A072F9">
        <w:rPr>
          <w:rFonts w:eastAsia="Calibri"/>
          <w:color w:val="000000"/>
        </w:rPr>
        <w:t xml:space="preserve">введение контролируемого избытка лития на различных стадиях синтеза. </w:t>
      </w:r>
      <w:r w:rsidR="00F847A7">
        <w:rPr>
          <w:rFonts w:eastAsia="Calibri"/>
          <w:color w:val="000000"/>
        </w:rPr>
        <w:t xml:space="preserve">Также было </w:t>
      </w:r>
      <w:r w:rsidR="00A072F9" w:rsidRPr="00A072F9">
        <w:rPr>
          <w:rFonts w:eastAsia="Calibri"/>
          <w:color w:val="000000"/>
        </w:rPr>
        <w:t xml:space="preserve">исследовано влияние условий </w:t>
      </w:r>
      <w:r w:rsidR="00F847A7">
        <w:rPr>
          <w:rFonts w:eastAsia="Calibri"/>
          <w:color w:val="000000"/>
        </w:rPr>
        <w:t xml:space="preserve">температурно-временных режимов </w:t>
      </w:r>
      <w:r w:rsidR="00A072F9" w:rsidRPr="00A072F9">
        <w:rPr>
          <w:rFonts w:eastAsia="Calibri"/>
          <w:color w:val="000000"/>
        </w:rPr>
        <w:t>спекания на микроструктур</w:t>
      </w:r>
      <w:r w:rsidR="00F847A7">
        <w:rPr>
          <w:rFonts w:eastAsia="Calibri"/>
          <w:color w:val="000000"/>
        </w:rPr>
        <w:t>у</w:t>
      </w:r>
      <w:r w:rsidR="00A072F9" w:rsidRPr="00A072F9">
        <w:rPr>
          <w:rFonts w:eastAsia="Calibri"/>
          <w:color w:val="000000"/>
        </w:rPr>
        <w:t xml:space="preserve">, </w:t>
      </w:r>
      <w:r w:rsidR="00F847A7">
        <w:rPr>
          <w:rFonts w:eastAsia="Calibri"/>
          <w:color w:val="000000"/>
        </w:rPr>
        <w:t xml:space="preserve">а также значения </w:t>
      </w:r>
      <w:r w:rsidR="00A072F9" w:rsidRPr="00A072F9">
        <w:rPr>
          <w:rFonts w:eastAsia="Calibri"/>
          <w:color w:val="000000"/>
        </w:rPr>
        <w:t xml:space="preserve">относительной плотности и ионной проводимости </w:t>
      </w:r>
      <w:r w:rsidR="00F847A7">
        <w:rPr>
          <w:rFonts w:eastAsia="Calibri"/>
          <w:color w:val="000000"/>
        </w:rPr>
        <w:t>образцов</w:t>
      </w:r>
      <w:r w:rsidR="00A072F9" w:rsidRPr="00A072F9">
        <w:rPr>
          <w:rFonts w:eastAsia="Calibri"/>
          <w:color w:val="000000"/>
        </w:rPr>
        <w:t xml:space="preserve">. Установлено, что оптимальный режим спекания составляет 800 °C в течение 6 ч. При данных условиях </w:t>
      </w:r>
      <w:r w:rsidR="00F847A7">
        <w:rPr>
          <w:rFonts w:eastAsia="Calibri"/>
          <w:color w:val="000000"/>
        </w:rPr>
        <w:t xml:space="preserve">величина </w:t>
      </w:r>
      <w:r w:rsidR="00A072F9" w:rsidRPr="00A072F9">
        <w:rPr>
          <w:rFonts w:eastAsia="Calibri"/>
          <w:color w:val="000000"/>
        </w:rPr>
        <w:t>ионн</w:t>
      </w:r>
      <w:r w:rsidR="00F847A7">
        <w:rPr>
          <w:rFonts w:eastAsia="Calibri"/>
          <w:color w:val="000000"/>
        </w:rPr>
        <w:t>ой</w:t>
      </w:r>
      <w:r w:rsidR="00A072F9" w:rsidRPr="00A072F9">
        <w:rPr>
          <w:rFonts w:eastAsia="Calibri"/>
          <w:color w:val="000000"/>
        </w:rPr>
        <w:t xml:space="preserve"> проводимост</w:t>
      </w:r>
      <w:r w:rsidR="00F847A7">
        <w:rPr>
          <w:rFonts w:eastAsia="Calibri"/>
          <w:color w:val="000000"/>
        </w:rPr>
        <w:t>и составила максимального значения</w:t>
      </w:r>
      <w:r w:rsidR="00A072F9" w:rsidRPr="00A072F9">
        <w:rPr>
          <w:rFonts w:eastAsia="Calibri"/>
          <w:color w:val="000000"/>
        </w:rPr>
        <w:t xml:space="preserve"> </w:t>
      </w:r>
      <w:r w:rsidR="00F847A7">
        <w:rPr>
          <w:rFonts w:eastAsia="Calibri"/>
          <w:color w:val="000000"/>
        </w:rPr>
        <w:t>(</w:t>
      </w:r>
      <w:r w:rsidR="00A072F9" w:rsidRPr="00A072F9">
        <w:rPr>
          <w:rFonts w:eastAsia="Calibri"/>
          <w:color w:val="000000"/>
        </w:rPr>
        <w:t>1,5×10⁻⁴ См/см</w:t>
      </w:r>
      <w:r w:rsidR="00F847A7">
        <w:rPr>
          <w:rFonts w:eastAsia="Calibri"/>
          <w:color w:val="000000"/>
        </w:rPr>
        <w:t>)</w:t>
      </w:r>
      <w:r w:rsidR="00A072F9" w:rsidRPr="00A072F9">
        <w:rPr>
          <w:rFonts w:eastAsia="Calibri"/>
          <w:color w:val="000000"/>
        </w:rPr>
        <w:t xml:space="preserve"> при относительной плотности 9</w:t>
      </w:r>
      <w:r w:rsidR="00885020" w:rsidRPr="00885020">
        <w:rPr>
          <w:rFonts w:eastAsia="Calibri"/>
          <w:color w:val="000000"/>
        </w:rPr>
        <w:t>5</w:t>
      </w:r>
      <w:r w:rsidR="00A072F9" w:rsidRPr="00A072F9">
        <w:rPr>
          <w:rFonts w:eastAsia="Calibri"/>
          <w:color w:val="000000"/>
        </w:rPr>
        <w:t>%.</w:t>
      </w:r>
    </w:p>
    <w:p w14:paraId="77D744D5" w14:textId="77777777" w:rsidR="008C6962" w:rsidRDefault="008C6962" w:rsidP="00B56D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bCs/>
          <w:i/>
          <w:color w:val="000000"/>
        </w:rPr>
      </w:pPr>
      <w:r w:rsidRPr="008C6962">
        <w:rPr>
          <w:bCs/>
          <w:i/>
          <w:color w:val="000000"/>
        </w:rPr>
        <w:t>Исследование выполнено за счет гранта Российского научного фонда (№ 24-79-10126)</w:t>
      </w:r>
    </w:p>
    <w:sectPr w:rsidR="008C6962" w:rsidSect="00B56D95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3161"/>
    <w:rsid w:val="00093C72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046C"/>
    <w:rsid w:val="00151F15"/>
    <w:rsid w:val="001E61C2"/>
    <w:rsid w:val="001F0493"/>
    <w:rsid w:val="0022260A"/>
    <w:rsid w:val="002264EE"/>
    <w:rsid w:val="0023307C"/>
    <w:rsid w:val="00291F39"/>
    <w:rsid w:val="002B1CD0"/>
    <w:rsid w:val="0031361E"/>
    <w:rsid w:val="00344930"/>
    <w:rsid w:val="0037334E"/>
    <w:rsid w:val="00373E2D"/>
    <w:rsid w:val="00391C38"/>
    <w:rsid w:val="003B1F44"/>
    <w:rsid w:val="003B76D6"/>
    <w:rsid w:val="003D09AD"/>
    <w:rsid w:val="003E2601"/>
    <w:rsid w:val="003F4E6B"/>
    <w:rsid w:val="004A26A3"/>
    <w:rsid w:val="004F0EDF"/>
    <w:rsid w:val="00521CBB"/>
    <w:rsid w:val="00522BF1"/>
    <w:rsid w:val="00590166"/>
    <w:rsid w:val="005B07E6"/>
    <w:rsid w:val="005D022B"/>
    <w:rsid w:val="005E5BE9"/>
    <w:rsid w:val="0063593B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707A7"/>
    <w:rsid w:val="00885020"/>
    <w:rsid w:val="008931BE"/>
    <w:rsid w:val="008C67E3"/>
    <w:rsid w:val="008C6962"/>
    <w:rsid w:val="00914205"/>
    <w:rsid w:val="00921D45"/>
    <w:rsid w:val="009426C0"/>
    <w:rsid w:val="00980A65"/>
    <w:rsid w:val="009862D6"/>
    <w:rsid w:val="00990613"/>
    <w:rsid w:val="009A66DB"/>
    <w:rsid w:val="009B2F80"/>
    <w:rsid w:val="009B3300"/>
    <w:rsid w:val="009E25A1"/>
    <w:rsid w:val="009F3380"/>
    <w:rsid w:val="00A02163"/>
    <w:rsid w:val="00A072F9"/>
    <w:rsid w:val="00A314FE"/>
    <w:rsid w:val="00AA1D62"/>
    <w:rsid w:val="00AD7380"/>
    <w:rsid w:val="00B25DD6"/>
    <w:rsid w:val="00B56D95"/>
    <w:rsid w:val="00BB2B98"/>
    <w:rsid w:val="00BF36F8"/>
    <w:rsid w:val="00BF4622"/>
    <w:rsid w:val="00C07339"/>
    <w:rsid w:val="00C36346"/>
    <w:rsid w:val="00C409A2"/>
    <w:rsid w:val="00C844E2"/>
    <w:rsid w:val="00CD00B1"/>
    <w:rsid w:val="00D22306"/>
    <w:rsid w:val="00D37D84"/>
    <w:rsid w:val="00D42542"/>
    <w:rsid w:val="00D42CE1"/>
    <w:rsid w:val="00D8121C"/>
    <w:rsid w:val="00D82CEB"/>
    <w:rsid w:val="00DC304D"/>
    <w:rsid w:val="00DD47C4"/>
    <w:rsid w:val="00E22189"/>
    <w:rsid w:val="00E31AFD"/>
    <w:rsid w:val="00E74069"/>
    <w:rsid w:val="00E81D35"/>
    <w:rsid w:val="00EB1F49"/>
    <w:rsid w:val="00F55054"/>
    <w:rsid w:val="00F847A7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37334E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21C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21C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21CB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1C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21CB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aaff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Яковлев</dc:creator>
  <cp:lastModifiedBy>I-on</cp:lastModifiedBy>
  <cp:revision>4</cp:revision>
  <cp:lastPrinted>2026-01-28T14:24:00Z</cp:lastPrinted>
  <dcterms:created xsi:type="dcterms:W3CDTF">2026-03-23T20:53:00Z</dcterms:created>
  <dcterms:modified xsi:type="dcterms:W3CDTF">2026-03-23T20:55:00Z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