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DD73B2" w14:textId="77777777" w:rsidR="00F6570B" w:rsidRDefault="00EA7BC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  <w:highlight w:val="yellow"/>
        </w:rPr>
      </w:pPr>
      <w:r w:rsidRPr="00EA7BC5">
        <w:rPr>
          <w:b/>
          <w:color w:val="000000"/>
        </w:rPr>
        <w:t xml:space="preserve">Влияние ионно-плазменного азотирования на структуру и </w:t>
      </w:r>
      <w:r>
        <w:rPr>
          <w:b/>
          <w:color w:val="000000"/>
        </w:rPr>
        <w:t xml:space="preserve">фазовый состав сплава </w:t>
      </w:r>
      <w:r w:rsidRPr="00EA7BC5">
        <w:rPr>
          <w:b/>
          <w:color w:val="000000"/>
        </w:rPr>
        <w:t>Al–Zn–</w:t>
      </w:r>
      <w:proofErr w:type="spellStart"/>
      <w:r w:rsidRPr="00EA7BC5">
        <w:rPr>
          <w:b/>
          <w:color w:val="000000"/>
        </w:rPr>
        <w:t>Mg</w:t>
      </w:r>
      <w:proofErr w:type="spellEnd"/>
      <w:r w:rsidRPr="00EA7BC5">
        <w:rPr>
          <w:b/>
          <w:color w:val="000000"/>
        </w:rPr>
        <w:t>–</w:t>
      </w:r>
      <w:proofErr w:type="spellStart"/>
      <w:r w:rsidRPr="00EA7BC5">
        <w:rPr>
          <w:b/>
          <w:color w:val="000000"/>
        </w:rPr>
        <w:t>Cu</w:t>
      </w:r>
      <w:proofErr w:type="spellEnd"/>
    </w:p>
    <w:p w14:paraId="22F91033" w14:textId="77777777" w:rsidR="009B37FA" w:rsidRDefault="009B37FA" w:rsidP="009B37F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Бушуева Н.И.</w:t>
      </w:r>
    </w:p>
    <w:p w14:paraId="3BBCB1D2" w14:textId="77777777" w:rsidR="00F6570B" w:rsidRDefault="00F6570B" w:rsidP="009B37F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>Аспирант, 4 год обучения</w:t>
      </w:r>
    </w:p>
    <w:p w14:paraId="5EB8A9E7" w14:textId="52A915F8" w:rsidR="00F6570B" w:rsidRDefault="009B37FA" w:rsidP="009B37F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>Уральский федеральный университет имени первого Президента России Б.Н. Ельцина, Екатеринбург, Россия</w:t>
      </w:r>
    </w:p>
    <w:p w14:paraId="474F8AFB" w14:textId="77777777" w:rsidR="00F6570B" w:rsidRDefault="009B37FA" w:rsidP="00F7308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lang w:val="en-US"/>
        </w:rPr>
      </w:pPr>
      <w:r w:rsidRPr="003D3F4A">
        <w:rPr>
          <w:i/>
          <w:color w:val="000000"/>
          <w:lang w:val="en-US"/>
        </w:rPr>
        <w:t>E</w:t>
      </w:r>
      <w:r w:rsidRPr="005F718A">
        <w:rPr>
          <w:i/>
          <w:color w:val="000000"/>
          <w:lang w:val="en-US"/>
        </w:rPr>
        <w:t>-</w:t>
      </w:r>
      <w:r w:rsidRPr="003D3F4A">
        <w:rPr>
          <w:i/>
          <w:color w:val="000000"/>
          <w:lang w:val="en-US"/>
        </w:rPr>
        <w:t>mail</w:t>
      </w:r>
      <w:r w:rsidRPr="005F718A">
        <w:rPr>
          <w:i/>
          <w:color w:val="000000"/>
          <w:lang w:val="en-US"/>
        </w:rPr>
        <w:t xml:space="preserve">: </w:t>
      </w:r>
      <w:hyperlink r:id="rId6" w:history="1">
        <w:r w:rsidRPr="003D3F4A">
          <w:rPr>
            <w:rStyle w:val="a9"/>
            <w:i/>
            <w:color w:val="auto"/>
            <w:lang w:val="en-US"/>
          </w:rPr>
          <w:t>n</w:t>
        </w:r>
        <w:r w:rsidRPr="005F718A">
          <w:rPr>
            <w:rStyle w:val="a9"/>
            <w:i/>
            <w:color w:val="auto"/>
            <w:lang w:val="en-US"/>
          </w:rPr>
          <w:t>.</w:t>
        </w:r>
        <w:r w:rsidRPr="003D3F4A">
          <w:rPr>
            <w:rStyle w:val="a9"/>
            <w:i/>
            <w:color w:val="auto"/>
            <w:lang w:val="en-US"/>
          </w:rPr>
          <w:t>i</w:t>
        </w:r>
        <w:r w:rsidRPr="005F718A">
          <w:rPr>
            <w:rStyle w:val="a9"/>
            <w:i/>
            <w:color w:val="auto"/>
            <w:lang w:val="en-US"/>
          </w:rPr>
          <w:t>.</w:t>
        </w:r>
        <w:r w:rsidRPr="003D3F4A">
          <w:rPr>
            <w:rStyle w:val="a9"/>
            <w:i/>
            <w:color w:val="auto"/>
            <w:lang w:val="en-US"/>
          </w:rPr>
          <w:t>bushueva</w:t>
        </w:r>
        <w:r w:rsidRPr="005F718A">
          <w:rPr>
            <w:rStyle w:val="a9"/>
            <w:i/>
            <w:color w:val="auto"/>
            <w:lang w:val="en-US"/>
          </w:rPr>
          <w:t>@</w:t>
        </w:r>
        <w:r w:rsidRPr="003D3F4A">
          <w:rPr>
            <w:rStyle w:val="a9"/>
            <w:i/>
            <w:color w:val="auto"/>
            <w:lang w:val="en-US"/>
          </w:rPr>
          <w:t>urfu</w:t>
        </w:r>
        <w:r w:rsidRPr="005F718A">
          <w:rPr>
            <w:rStyle w:val="a9"/>
            <w:i/>
            <w:color w:val="auto"/>
            <w:lang w:val="en-US"/>
          </w:rPr>
          <w:t>.</w:t>
        </w:r>
        <w:r w:rsidRPr="003D3F4A">
          <w:rPr>
            <w:rStyle w:val="a9"/>
            <w:i/>
            <w:color w:val="auto"/>
            <w:lang w:val="en-US"/>
          </w:rPr>
          <w:t>ru</w:t>
        </w:r>
      </w:hyperlink>
    </w:p>
    <w:p w14:paraId="7214B99B" w14:textId="74745792" w:rsidR="00F73088" w:rsidRDefault="00F73088" w:rsidP="00F7308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F73088">
        <w:rPr>
          <w:color w:val="000000"/>
        </w:rPr>
        <w:t>Производство деталей из высокопрочного алюминиевого сплава 7075 системы Al–Zn–</w:t>
      </w:r>
      <w:proofErr w:type="spellStart"/>
      <w:r w:rsidRPr="00F73088">
        <w:rPr>
          <w:color w:val="000000"/>
        </w:rPr>
        <w:t>Mg</w:t>
      </w:r>
      <w:proofErr w:type="spellEnd"/>
      <w:r w:rsidRPr="00F73088">
        <w:rPr>
          <w:color w:val="000000"/>
        </w:rPr>
        <w:t>–</w:t>
      </w:r>
      <w:proofErr w:type="spellStart"/>
      <w:r w:rsidRPr="00F73088">
        <w:rPr>
          <w:color w:val="000000"/>
        </w:rPr>
        <w:t>Cu</w:t>
      </w:r>
      <w:proofErr w:type="spellEnd"/>
      <w:r w:rsidRPr="00F73088">
        <w:rPr>
          <w:color w:val="000000"/>
        </w:rPr>
        <w:t xml:space="preserve"> методами аддитивных технологий часто сопровождается структурной неоднородностью материала и требует дополнительного улучшения поверхностных характеристик [1]. Способом улучшения свойств таких изделий может быть ионно-плазменное азотирование. Цель данной работы – исследование влияния ионно-плазменного воздействия на структуру и фазовый состав сплава 7075.</w:t>
      </w:r>
    </w:p>
    <w:p w14:paraId="5F4AC951" w14:textId="77777777" w:rsidR="00F6570B" w:rsidRDefault="003E4E4A" w:rsidP="0003398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3E4E4A">
        <w:rPr>
          <w:color w:val="000000"/>
        </w:rPr>
        <w:t>Обработка образцов осуществлялась методом ионно-п</w:t>
      </w:r>
      <w:r>
        <w:rPr>
          <w:color w:val="000000"/>
        </w:rPr>
        <w:t>лазменного</w:t>
      </w:r>
      <w:r w:rsidRPr="003E4E4A">
        <w:rPr>
          <w:color w:val="000000"/>
        </w:rPr>
        <w:t xml:space="preserve"> азотирования на установке с </w:t>
      </w:r>
      <w:proofErr w:type="spellStart"/>
      <w:r w:rsidRPr="003E4E4A">
        <w:rPr>
          <w:color w:val="000000"/>
        </w:rPr>
        <w:t>бессеточной</w:t>
      </w:r>
      <w:proofErr w:type="spellEnd"/>
      <w:r w:rsidRPr="003E4E4A">
        <w:rPr>
          <w:color w:val="000000"/>
        </w:rPr>
        <w:t xml:space="preserve"> системой формирования низкоэнергетического ионного пучка. </w:t>
      </w:r>
      <w:r w:rsidR="00BE4978" w:rsidRPr="00BE4978">
        <w:rPr>
          <w:color w:val="000000"/>
        </w:rPr>
        <w:t>Процесс проводился при температуре 550 °C и давлении до 1 Па.</w:t>
      </w:r>
      <w:r w:rsidRPr="003E4E4A">
        <w:rPr>
          <w:color w:val="000000"/>
        </w:rPr>
        <w:t xml:space="preserve"> Анализ морфологии поверхности и микрорентгеноспектральный анализ (EDS) выпол</w:t>
      </w:r>
      <w:r w:rsidR="009B37FA">
        <w:rPr>
          <w:color w:val="000000"/>
        </w:rPr>
        <w:t>нен</w:t>
      </w:r>
      <w:r w:rsidRPr="003E4E4A">
        <w:rPr>
          <w:color w:val="000000"/>
        </w:rPr>
        <w:t xml:space="preserve"> с помощью </w:t>
      </w:r>
      <w:r>
        <w:rPr>
          <w:color w:val="000000"/>
        </w:rPr>
        <w:t>растрового</w:t>
      </w:r>
      <w:r w:rsidRPr="003E4E4A">
        <w:rPr>
          <w:color w:val="000000"/>
        </w:rPr>
        <w:t xml:space="preserve"> электронного микроскопа с детектором </w:t>
      </w:r>
      <w:r>
        <w:rPr>
          <w:color w:val="000000"/>
        </w:rPr>
        <w:t>вторичных электронов (SE)</w:t>
      </w:r>
      <w:r w:rsidR="00033987">
        <w:rPr>
          <w:color w:val="000000"/>
        </w:rPr>
        <w:t xml:space="preserve"> (</w:t>
      </w:r>
      <w:r w:rsidR="001B67E3">
        <w:rPr>
          <w:color w:val="000000"/>
        </w:rPr>
        <w:t>рис.</w:t>
      </w:r>
      <w:r w:rsidR="00033987">
        <w:rPr>
          <w:color w:val="000000"/>
        </w:rPr>
        <w:t xml:space="preserve"> </w:t>
      </w:r>
      <w:r w:rsidR="001B67E3">
        <w:rPr>
          <w:color w:val="000000"/>
        </w:rPr>
        <w:t>1</w:t>
      </w:r>
      <w:r w:rsidR="00033987">
        <w:rPr>
          <w:color w:val="000000"/>
        </w:rPr>
        <w:t>).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87"/>
        <w:gridCol w:w="4587"/>
      </w:tblGrid>
      <w:tr w:rsidR="00160501" w14:paraId="1242F47A" w14:textId="77777777" w:rsidTr="0017789C">
        <w:tc>
          <w:tcPr>
            <w:tcW w:w="4587" w:type="dxa"/>
          </w:tcPr>
          <w:p w14:paraId="1E71C8FA" w14:textId="77777777" w:rsidR="00160501" w:rsidRDefault="00160501" w:rsidP="0017789C">
            <w:pPr>
              <w:jc w:val="center"/>
              <w:rPr>
                <w:color w:val="000000"/>
              </w:rPr>
            </w:pPr>
            <w:r w:rsidRPr="0039437F">
              <w:rPr>
                <w:noProof/>
                <w:color w:val="000000"/>
              </w:rPr>
              <w:drawing>
                <wp:inline distT="0" distB="0" distL="0" distR="0" wp14:anchorId="5F74C4CB" wp14:editId="1DAE7731">
                  <wp:extent cx="2486025" cy="1888120"/>
                  <wp:effectExtent l="0" t="0" r="0" b="0"/>
                  <wp:docPr id="3" name="Рисунок 3" descr="C:\Users\O_o\Downloads\рис 1 а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O_o\Downloads\рис 1 а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7067" cy="18965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87" w:type="dxa"/>
          </w:tcPr>
          <w:p w14:paraId="0E37EB1A" w14:textId="77777777" w:rsidR="00160501" w:rsidRDefault="00160501" w:rsidP="0017789C">
            <w:pPr>
              <w:jc w:val="center"/>
              <w:rPr>
                <w:color w:val="000000"/>
              </w:rPr>
            </w:pPr>
            <w:r w:rsidRPr="0039437F">
              <w:rPr>
                <w:noProof/>
                <w:color w:val="000000"/>
              </w:rPr>
              <w:drawing>
                <wp:inline distT="0" distB="0" distL="0" distR="0" wp14:anchorId="491F454D" wp14:editId="4FB28525">
                  <wp:extent cx="2453534" cy="1847850"/>
                  <wp:effectExtent l="0" t="0" r="4445" b="0"/>
                  <wp:docPr id="4" name="Рисунок 4" descr="C:\Users\O_o\Downloads\рис 2 б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O_o\Downloads\рис 2 б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1455" cy="1853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60501" w14:paraId="52FA09E2" w14:textId="77777777" w:rsidTr="0017789C">
        <w:trPr>
          <w:trHeight w:val="54"/>
        </w:trPr>
        <w:tc>
          <w:tcPr>
            <w:tcW w:w="4587" w:type="dxa"/>
          </w:tcPr>
          <w:p w14:paraId="2DA9B05B" w14:textId="77777777" w:rsidR="00160501" w:rsidRDefault="00160501" w:rsidP="001778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а)</w:t>
            </w:r>
          </w:p>
        </w:tc>
        <w:tc>
          <w:tcPr>
            <w:tcW w:w="4587" w:type="dxa"/>
          </w:tcPr>
          <w:p w14:paraId="61DF6A33" w14:textId="77777777" w:rsidR="00160501" w:rsidRDefault="00160501" w:rsidP="001778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б)</w:t>
            </w:r>
          </w:p>
        </w:tc>
      </w:tr>
    </w:tbl>
    <w:p w14:paraId="5D59F765" w14:textId="77777777" w:rsidR="00160501" w:rsidRPr="00EA7BC5" w:rsidRDefault="00160501" w:rsidP="0016050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color w:val="000000"/>
        </w:rPr>
        <w:t>Рис. 1</w:t>
      </w:r>
      <w:r w:rsidRPr="00D42542">
        <w:rPr>
          <w:color w:val="000000"/>
        </w:rPr>
        <w:t xml:space="preserve">. </w:t>
      </w:r>
      <w:r>
        <w:rPr>
          <w:color w:val="000000"/>
        </w:rPr>
        <w:t>Структура поверхности сплава 7075: а) в исходном состоянии; б) после ионно-плазменного воздействия</w:t>
      </w:r>
    </w:p>
    <w:p w14:paraId="3D787EE6" w14:textId="77777777" w:rsidR="00F6570B" w:rsidRDefault="009E5275" w:rsidP="00BE497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9E5275">
        <w:rPr>
          <w:color w:val="000000"/>
        </w:rPr>
        <w:t xml:space="preserve">В исходном состоянии микроструктура поверхности сплава 7075 характеризуется </w:t>
      </w:r>
      <w:proofErr w:type="spellStart"/>
      <w:r w:rsidRPr="009E5275">
        <w:rPr>
          <w:color w:val="000000"/>
        </w:rPr>
        <w:t>равноосными</w:t>
      </w:r>
      <w:proofErr w:type="spellEnd"/>
      <w:r w:rsidRPr="009E5275">
        <w:rPr>
          <w:color w:val="000000"/>
        </w:rPr>
        <w:t xml:space="preserve"> зернами, вдоль границ которых наблюдается выделение </w:t>
      </w:r>
      <w:proofErr w:type="spellStart"/>
      <w:r w:rsidRPr="009E5275">
        <w:rPr>
          <w:color w:val="000000"/>
        </w:rPr>
        <w:t>интерметаллидных</w:t>
      </w:r>
      <w:proofErr w:type="spellEnd"/>
      <w:r w:rsidRPr="009E5275">
        <w:rPr>
          <w:color w:val="000000"/>
        </w:rPr>
        <w:t xml:space="preserve"> фаз</w:t>
      </w:r>
      <w:r>
        <w:rPr>
          <w:color w:val="000000"/>
        </w:rPr>
        <w:t xml:space="preserve"> </w:t>
      </w:r>
      <w:r w:rsidR="00BE4978">
        <w:rPr>
          <w:color w:val="000000"/>
        </w:rPr>
        <w:t>(рис</w:t>
      </w:r>
      <w:r w:rsidR="00BE4978" w:rsidRPr="003E4E4A">
        <w:rPr>
          <w:color w:val="000000"/>
        </w:rPr>
        <w:t>.</w:t>
      </w:r>
      <w:proofErr w:type="gramStart"/>
      <w:r w:rsidR="00BE4978">
        <w:rPr>
          <w:color w:val="000000"/>
        </w:rPr>
        <w:t>1</w:t>
      </w:r>
      <w:r w:rsidR="00BE4978" w:rsidRPr="00033987">
        <w:rPr>
          <w:color w:val="000000"/>
        </w:rPr>
        <w:t>,</w:t>
      </w:r>
      <w:r w:rsidR="00BE4978">
        <w:rPr>
          <w:color w:val="000000"/>
        </w:rPr>
        <w:t>а</w:t>
      </w:r>
      <w:proofErr w:type="gramEnd"/>
      <w:r w:rsidR="00BE4978" w:rsidRPr="00BE4978">
        <w:rPr>
          <w:color w:val="000000"/>
        </w:rPr>
        <w:t>).</w:t>
      </w:r>
      <w:r w:rsidR="00BE4978">
        <w:rPr>
          <w:color w:val="000000"/>
        </w:rPr>
        <w:t xml:space="preserve"> </w:t>
      </w:r>
      <w:r w:rsidR="003E4E4A" w:rsidRPr="003E4E4A">
        <w:rPr>
          <w:color w:val="000000"/>
        </w:rPr>
        <w:t xml:space="preserve">Результаты анализа выявили высокую чувствительность формируемой структуры к исходной </w:t>
      </w:r>
      <w:r w:rsidR="003E4E4A">
        <w:rPr>
          <w:color w:val="000000"/>
        </w:rPr>
        <w:t>структуре</w:t>
      </w:r>
      <w:r w:rsidR="003E4E4A" w:rsidRPr="003E4E4A">
        <w:rPr>
          <w:color w:val="000000"/>
        </w:rPr>
        <w:t xml:space="preserve"> сплава. Установлено, что после азотирования модифицированная зона охватывает около 80 % исследуемой поверхности</w:t>
      </w:r>
      <w:r w:rsidR="00033987">
        <w:rPr>
          <w:color w:val="000000"/>
        </w:rPr>
        <w:t xml:space="preserve"> (рис</w:t>
      </w:r>
      <w:r w:rsidR="003E4E4A" w:rsidRPr="003E4E4A">
        <w:rPr>
          <w:color w:val="000000"/>
        </w:rPr>
        <w:t>.</w:t>
      </w:r>
      <w:proofErr w:type="gramStart"/>
      <w:r w:rsidR="00033987">
        <w:rPr>
          <w:color w:val="000000"/>
        </w:rPr>
        <w:t>1</w:t>
      </w:r>
      <w:r w:rsidR="00033987" w:rsidRPr="00033987">
        <w:rPr>
          <w:color w:val="000000"/>
        </w:rPr>
        <w:t>,</w:t>
      </w:r>
      <w:r w:rsidR="00033987">
        <w:rPr>
          <w:color w:val="000000"/>
        </w:rPr>
        <w:t>б</w:t>
      </w:r>
      <w:proofErr w:type="gramEnd"/>
      <w:r w:rsidR="00033987">
        <w:rPr>
          <w:color w:val="000000"/>
        </w:rPr>
        <w:t>).</w:t>
      </w:r>
      <w:r w:rsidR="003E4E4A" w:rsidRPr="003E4E4A">
        <w:rPr>
          <w:color w:val="000000"/>
        </w:rPr>
        <w:t xml:space="preserve"> Максимальное содержание азота на локальных участках достигает 41,78 </w:t>
      </w:r>
      <w:proofErr w:type="spellStart"/>
      <w:r w:rsidR="003E4E4A" w:rsidRPr="003E4E4A">
        <w:rPr>
          <w:color w:val="000000"/>
        </w:rPr>
        <w:t>ат</w:t>
      </w:r>
      <w:proofErr w:type="spellEnd"/>
      <w:r w:rsidR="003E4E4A" w:rsidRPr="003E4E4A">
        <w:rPr>
          <w:color w:val="000000"/>
        </w:rPr>
        <w:t xml:space="preserve">. %, что свидетельствует об образовании фазы </w:t>
      </w:r>
      <w:r w:rsidR="003E4E4A">
        <w:rPr>
          <w:color w:val="000000"/>
        </w:rPr>
        <w:t>чистого нитрида алюминия (</w:t>
      </w:r>
      <w:proofErr w:type="spellStart"/>
      <w:r w:rsidR="003E4E4A">
        <w:rPr>
          <w:color w:val="000000"/>
        </w:rPr>
        <w:t>AlN</w:t>
      </w:r>
      <w:proofErr w:type="spellEnd"/>
      <w:r w:rsidR="003E4E4A">
        <w:rPr>
          <w:color w:val="000000"/>
        </w:rPr>
        <w:t xml:space="preserve">). </w:t>
      </w:r>
      <w:r w:rsidR="003E4E4A" w:rsidRPr="003E4E4A">
        <w:rPr>
          <w:color w:val="000000"/>
        </w:rPr>
        <w:t xml:space="preserve">Однако сформированный слой имеет прерывистый, гибридный характер. Основной причиной неравномерного распределения нитридов выступает изначальная микроструктурная неоднородность матрицы: на </w:t>
      </w:r>
      <w:proofErr w:type="spellStart"/>
      <w:r w:rsidR="003E4E4A" w:rsidRPr="003E4E4A">
        <w:rPr>
          <w:color w:val="000000"/>
        </w:rPr>
        <w:t>неазотированных</w:t>
      </w:r>
      <w:proofErr w:type="spellEnd"/>
      <w:r w:rsidR="003E4E4A" w:rsidRPr="003E4E4A">
        <w:rPr>
          <w:color w:val="000000"/>
        </w:rPr>
        <w:t xml:space="preserve"> участках зафиксированы скопления интерметаллидов TiAl</w:t>
      </w:r>
      <w:r w:rsidR="00BE4978" w:rsidRPr="00BE4978">
        <w:rPr>
          <w:color w:val="000000"/>
          <w:vertAlign w:val="subscript"/>
        </w:rPr>
        <w:t>3</w:t>
      </w:r>
      <w:r w:rsidR="003E4E4A" w:rsidRPr="003E4E4A">
        <w:rPr>
          <w:color w:val="000000"/>
        </w:rPr>
        <w:t xml:space="preserve"> и включения </w:t>
      </w:r>
      <w:r w:rsidR="003E4E4A">
        <w:rPr>
          <w:color w:val="000000"/>
        </w:rPr>
        <w:t>SiO</w:t>
      </w:r>
      <w:r w:rsidR="00BE4978" w:rsidRPr="00BE4978">
        <w:rPr>
          <w:color w:val="000000"/>
          <w:vertAlign w:val="subscript"/>
        </w:rPr>
        <w:t>2</w:t>
      </w:r>
      <w:r w:rsidR="003E4E4A" w:rsidRPr="003E4E4A">
        <w:rPr>
          <w:color w:val="000000"/>
        </w:rPr>
        <w:t>, которые играют роль физических барьеров, бло</w:t>
      </w:r>
      <w:r w:rsidR="003E4E4A">
        <w:rPr>
          <w:color w:val="000000"/>
        </w:rPr>
        <w:t>кирующих диффузию атомов азота.</w:t>
      </w:r>
    </w:p>
    <w:p w14:paraId="6596793C" w14:textId="46D6377E" w:rsidR="00EA7BC5" w:rsidRPr="0039437F" w:rsidRDefault="003E4E4A" w:rsidP="002843B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Таким образом, и</w:t>
      </w:r>
      <w:r w:rsidR="00EA7BC5" w:rsidRPr="00EA7BC5">
        <w:rPr>
          <w:color w:val="000000"/>
        </w:rPr>
        <w:t>онно-</w:t>
      </w:r>
      <w:r>
        <w:rPr>
          <w:color w:val="000000"/>
        </w:rPr>
        <w:t>плазменное</w:t>
      </w:r>
      <w:r w:rsidR="00EA7BC5" w:rsidRPr="00EA7BC5">
        <w:rPr>
          <w:color w:val="000000"/>
        </w:rPr>
        <w:t xml:space="preserve"> азотирование сплава </w:t>
      </w:r>
      <w:r w:rsidR="00033987">
        <w:rPr>
          <w:color w:val="000000"/>
        </w:rPr>
        <w:t>7075</w:t>
      </w:r>
      <w:r w:rsidR="00EA7BC5" w:rsidRPr="00EA7BC5">
        <w:rPr>
          <w:color w:val="000000"/>
        </w:rPr>
        <w:t xml:space="preserve"> при </w:t>
      </w:r>
      <w:r>
        <w:rPr>
          <w:color w:val="000000"/>
        </w:rPr>
        <w:t>550</w:t>
      </w:r>
      <w:r w:rsidR="00EA7BC5" w:rsidRPr="00EA7BC5">
        <w:rPr>
          <w:color w:val="000000"/>
        </w:rPr>
        <w:t xml:space="preserve"> °C позволяет сформировать на поверхно</w:t>
      </w:r>
      <w:r>
        <w:rPr>
          <w:color w:val="000000"/>
        </w:rPr>
        <w:t xml:space="preserve">сти упрочняющие нитридные фазы </w:t>
      </w:r>
      <w:proofErr w:type="spellStart"/>
      <w:r w:rsidR="00EA7BC5" w:rsidRPr="00EA7BC5">
        <w:rPr>
          <w:color w:val="000000"/>
        </w:rPr>
        <w:t>AlN</w:t>
      </w:r>
      <w:proofErr w:type="spellEnd"/>
      <w:r w:rsidR="00EA7BC5" w:rsidRPr="00EA7BC5">
        <w:rPr>
          <w:color w:val="000000"/>
        </w:rPr>
        <w:t xml:space="preserve">. </w:t>
      </w:r>
      <w:r w:rsidR="00033987">
        <w:rPr>
          <w:color w:val="000000"/>
        </w:rPr>
        <w:t xml:space="preserve">Для </w:t>
      </w:r>
      <w:r>
        <w:rPr>
          <w:color w:val="000000"/>
        </w:rPr>
        <w:t>устранени</w:t>
      </w:r>
      <w:r w:rsidR="00033987">
        <w:rPr>
          <w:color w:val="000000"/>
        </w:rPr>
        <w:t>я</w:t>
      </w:r>
      <w:r>
        <w:rPr>
          <w:color w:val="000000"/>
        </w:rPr>
        <w:t xml:space="preserve"> проблемы </w:t>
      </w:r>
      <w:r w:rsidR="00033987">
        <w:rPr>
          <w:color w:val="000000"/>
        </w:rPr>
        <w:t xml:space="preserve">следует </w:t>
      </w:r>
      <w:r>
        <w:rPr>
          <w:color w:val="000000"/>
        </w:rPr>
        <w:t>у</w:t>
      </w:r>
      <w:r w:rsidR="00EA7BC5" w:rsidRPr="00EA7BC5">
        <w:rPr>
          <w:color w:val="000000"/>
        </w:rPr>
        <w:t>велич</w:t>
      </w:r>
      <w:r w:rsidR="00033987">
        <w:rPr>
          <w:color w:val="000000"/>
        </w:rPr>
        <w:t>ить</w:t>
      </w:r>
      <w:r w:rsidR="00EA7BC5" w:rsidRPr="00EA7BC5">
        <w:rPr>
          <w:color w:val="000000"/>
        </w:rPr>
        <w:t xml:space="preserve"> длительност</w:t>
      </w:r>
      <w:r w:rsidR="00033987">
        <w:rPr>
          <w:color w:val="000000"/>
        </w:rPr>
        <w:t>ь</w:t>
      </w:r>
      <w:r w:rsidR="00EA7BC5" w:rsidRPr="00EA7BC5">
        <w:rPr>
          <w:color w:val="000000"/>
        </w:rPr>
        <w:t xml:space="preserve"> процесса </w:t>
      </w:r>
      <w:r>
        <w:rPr>
          <w:color w:val="000000"/>
        </w:rPr>
        <w:t>для более глубокого</w:t>
      </w:r>
      <w:r w:rsidR="00EA7BC5" w:rsidRPr="00EA7BC5">
        <w:rPr>
          <w:color w:val="000000"/>
        </w:rPr>
        <w:t xml:space="preserve"> </w:t>
      </w:r>
      <w:proofErr w:type="spellStart"/>
      <w:r w:rsidR="00EA7BC5" w:rsidRPr="00EA7BC5">
        <w:rPr>
          <w:color w:val="000000"/>
        </w:rPr>
        <w:t>нитридировани</w:t>
      </w:r>
      <w:r>
        <w:rPr>
          <w:color w:val="000000"/>
        </w:rPr>
        <w:t>я</w:t>
      </w:r>
      <w:proofErr w:type="spellEnd"/>
      <w:r>
        <w:rPr>
          <w:color w:val="000000"/>
        </w:rPr>
        <w:t xml:space="preserve"> поверхности. Также д</w:t>
      </w:r>
      <w:r w:rsidR="00EA7BC5" w:rsidRPr="00EA7BC5">
        <w:rPr>
          <w:color w:val="000000"/>
        </w:rPr>
        <w:t>ля формирования сплошного нитридного слоя рекомендуется применение предварительной гомогенизации и ионной очистки поверхност</w:t>
      </w:r>
      <w:r>
        <w:rPr>
          <w:color w:val="000000"/>
        </w:rPr>
        <w:t>и.</w:t>
      </w:r>
    </w:p>
    <w:p w14:paraId="204FBF53" w14:textId="77777777" w:rsidR="009B37FA" w:rsidRPr="00900BB4" w:rsidRDefault="009B37FA" w:rsidP="002843B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3486C755" w14:textId="4805E933" w:rsidR="00116478" w:rsidRDefault="009B37FA" w:rsidP="00F6570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39437F">
        <w:rPr>
          <w:color w:val="000000"/>
        </w:rPr>
        <w:t xml:space="preserve">1. </w:t>
      </w:r>
      <w:proofErr w:type="spellStart"/>
      <w:r w:rsidRPr="009B37FA">
        <w:rPr>
          <w:color w:val="000000"/>
          <w:lang w:val="en-US"/>
        </w:rPr>
        <w:t>Kvvssn</w:t>
      </w:r>
      <w:proofErr w:type="spellEnd"/>
      <w:r w:rsidRPr="0039437F">
        <w:rPr>
          <w:color w:val="000000"/>
        </w:rPr>
        <w:t xml:space="preserve">, </w:t>
      </w:r>
      <w:r w:rsidRPr="009B37FA">
        <w:rPr>
          <w:color w:val="000000"/>
          <w:lang w:val="en-US"/>
        </w:rPr>
        <w:t>V</w:t>
      </w:r>
      <w:r w:rsidRPr="0039437F">
        <w:rPr>
          <w:color w:val="000000"/>
        </w:rPr>
        <w:t xml:space="preserve">. </w:t>
      </w:r>
      <w:r>
        <w:rPr>
          <w:color w:val="000000"/>
          <w:lang w:val="en-US"/>
        </w:rPr>
        <w:t>et</w:t>
      </w:r>
      <w:r w:rsidRPr="0039437F">
        <w:rPr>
          <w:color w:val="000000"/>
        </w:rPr>
        <w:t xml:space="preserve"> </w:t>
      </w:r>
      <w:r>
        <w:rPr>
          <w:color w:val="000000"/>
          <w:lang w:val="en-US"/>
        </w:rPr>
        <w:t>al</w:t>
      </w:r>
      <w:r w:rsidRPr="0039437F">
        <w:rPr>
          <w:color w:val="000000"/>
        </w:rPr>
        <w:t xml:space="preserve">. </w:t>
      </w:r>
      <w:r w:rsidRPr="009B37FA">
        <w:rPr>
          <w:color w:val="000000"/>
          <w:lang w:val="en-US"/>
        </w:rPr>
        <w:t xml:space="preserve">Recent progress in additive manufacturing of 7XXX aluminum alloys. </w:t>
      </w:r>
      <w:r w:rsidR="00C328D0" w:rsidRPr="00C328D0">
        <w:rPr>
          <w:color w:val="000000"/>
          <w:lang w:val="en-US"/>
        </w:rPr>
        <w:t>Int. J. Adv. Manuf. Tech.</w:t>
      </w:r>
      <w:r w:rsidR="00C328D0" w:rsidRPr="0039437F">
        <w:rPr>
          <w:color w:val="000000"/>
          <w:lang w:val="en-US"/>
        </w:rPr>
        <w:t xml:space="preserve"> </w:t>
      </w:r>
      <w:r w:rsidRPr="009B37FA">
        <w:rPr>
          <w:color w:val="000000"/>
          <w:lang w:val="en-US"/>
        </w:rPr>
        <w:t>2025</w:t>
      </w:r>
      <w:r>
        <w:rPr>
          <w:color w:val="000000"/>
          <w:lang w:val="en-US"/>
        </w:rPr>
        <w:t>.</w:t>
      </w:r>
      <w:r w:rsidRPr="009B37FA">
        <w:rPr>
          <w:color w:val="000000"/>
          <w:lang w:val="en-US"/>
        </w:rPr>
        <w:t xml:space="preserve"> </w:t>
      </w:r>
      <w:r w:rsidR="00C328D0">
        <w:rPr>
          <w:color w:val="000000"/>
          <w:lang w:val="en-US"/>
        </w:rPr>
        <w:t>Vol.</w:t>
      </w:r>
      <w:r w:rsidR="00C328D0" w:rsidRPr="009B37FA">
        <w:rPr>
          <w:color w:val="000000"/>
          <w:lang w:val="en-US"/>
        </w:rPr>
        <w:t>137.</w:t>
      </w:r>
      <w:r w:rsidR="00C328D0">
        <w:rPr>
          <w:color w:val="000000"/>
          <w:lang w:val="en-US"/>
        </w:rPr>
        <w:t xml:space="preserve"> </w:t>
      </w:r>
      <w:r>
        <w:rPr>
          <w:color w:val="000000"/>
          <w:lang w:val="en-US"/>
        </w:rPr>
        <w:t xml:space="preserve">P. 4353-4399. </w:t>
      </w:r>
      <w:r w:rsidRPr="00CE1945">
        <w:rPr>
          <w:color w:val="000000"/>
          <w:lang w:val="en-US"/>
        </w:rPr>
        <w:t>DOI:</w:t>
      </w:r>
      <w:r>
        <w:rPr>
          <w:color w:val="000000"/>
          <w:lang w:val="en-US"/>
        </w:rPr>
        <w:t xml:space="preserve"> </w:t>
      </w:r>
      <w:r w:rsidRPr="009B37FA">
        <w:rPr>
          <w:color w:val="000000"/>
          <w:lang w:val="en-US"/>
        </w:rPr>
        <w:t>10.1007/s00170-025-15415-z.</w:t>
      </w:r>
    </w:p>
    <w:sectPr w:rsidR="00116478" w:rsidSect="00F6570B">
      <w:pgSz w:w="11906" w:h="16838"/>
      <w:pgMar w:top="1134" w:right="1361" w:bottom="1134" w:left="1361" w:header="709" w:footer="709" w:gutter="0"/>
      <w:pgNumType w:start="1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6773821">
    <w:abstractNumId w:val="2"/>
  </w:num>
  <w:num w:numId="2" w16cid:durableId="1680083449">
    <w:abstractNumId w:val="3"/>
  </w:num>
  <w:num w:numId="3" w16cid:durableId="1238856757">
    <w:abstractNumId w:val="1"/>
  </w:num>
  <w:num w:numId="4" w16cid:durableId="18052744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33987"/>
    <w:rsid w:val="00063966"/>
    <w:rsid w:val="00075D6E"/>
    <w:rsid w:val="00086081"/>
    <w:rsid w:val="0009449A"/>
    <w:rsid w:val="00094FD0"/>
    <w:rsid w:val="000A72C6"/>
    <w:rsid w:val="000E334E"/>
    <w:rsid w:val="00101A1C"/>
    <w:rsid w:val="00103657"/>
    <w:rsid w:val="00106375"/>
    <w:rsid w:val="00107AA3"/>
    <w:rsid w:val="00116478"/>
    <w:rsid w:val="00130241"/>
    <w:rsid w:val="00160501"/>
    <w:rsid w:val="001B67E3"/>
    <w:rsid w:val="001E61C2"/>
    <w:rsid w:val="001F0493"/>
    <w:rsid w:val="0022260A"/>
    <w:rsid w:val="002264EE"/>
    <w:rsid w:val="0023307C"/>
    <w:rsid w:val="00270D69"/>
    <w:rsid w:val="002843BC"/>
    <w:rsid w:val="002B1CD0"/>
    <w:rsid w:val="0031361E"/>
    <w:rsid w:val="00344930"/>
    <w:rsid w:val="00373E2D"/>
    <w:rsid w:val="00391C38"/>
    <w:rsid w:val="0039437F"/>
    <w:rsid w:val="003B76D6"/>
    <w:rsid w:val="003D09AD"/>
    <w:rsid w:val="003E2601"/>
    <w:rsid w:val="003E4E4A"/>
    <w:rsid w:val="003F4E6B"/>
    <w:rsid w:val="00492259"/>
    <w:rsid w:val="004A26A3"/>
    <w:rsid w:val="004F0EDF"/>
    <w:rsid w:val="00522BF1"/>
    <w:rsid w:val="00590166"/>
    <w:rsid w:val="005B07E6"/>
    <w:rsid w:val="005D022B"/>
    <w:rsid w:val="005E5BE9"/>
    <w:rsid w:val="00665279"/>
    <w:rsid w:val="00677D14"/>
    <w:rsid w:val="0069427D"/>
    <w:rsid w:val="006F7A19"/>
    <w:rsid w:val="00705378"/>
    <w:rsid w:val="007213E1"/>
    <w:rsid w:val="0072664C"/>
    <w:rsid w:val="00775389"/>
    <w:rsid w:val="00797838"/>
    <w:rsid w:val="007C36D8"/>
    <w:rsid w:val="007F2744"/>
    <w:rsid w:val="008931BE"/>
    <w:rsid w:val="008C67E3"/>
    <w:rsid w:val="00914205"/>
    <w:rsid w:val="00921D45"/>
    <w:rsid w:val="009426C0"/>
    <w:rsid w:val="00980A65"/>
    <w:rsid w:val="009A66DB"/>
    <w:rsid w:val="009B2F80"/>
    <w:rsid w:val="009B3300"/>
    <w:rsid w:val="009B37FA"/>
    <w:rsid w:val="009E5275"/>
    <w:rsid w:val="009F3380"/>
    <w:rsid w:val="00A02163"/>
    <w:rsid w:val="00A314FE"/>
    <w:rsid w:val="00AA1D62"/>
    <w:rsid w:val="00AD7380"/>
    <w:rsid w:val="00BB4FB4"/>
    <w:rsid w:val="00BE4978"/>
    <w:rsid w:val="00BF36F8"/>
    <w:rsid w:val="00BF4622"/>
    <w:rsid w:val="00C328D0"/>
    <w:rsid w:val="00C36346"/>
    <w:rsid w:val="00C844E2"/>
    <w:rsid w:val="00CD00B1"/>
    <w:rsid w:val="00D22306"/>
    <w:rsid w:val="00D37D84"/>
    <w:rsid w:val="00D42542"/>
    <w:rsid w:val="00D8121C"/>
    <w:rsid w:val="00DD47C4"/>
    <w:rsid w:val="00E22189"/>
    <w:rsid w:val="00E74069"/>
    <w:rsid w:val="00E81D35"/>
    <w:rsid w:val="00EA7BC5"/>
    <w:rsid w:val="00EB1F49"/>
    <w:rsid w:val="00EB4BBE"/>
    <w:rsid w:val="00F55054"/>
    <w:rsid w:val="00F6570B"/>
    <w:rsid w:val="00F73088"/>
    <w:rsid w:val="00F865B3"/>
    <w:rsid w:val="00FA2140"/>
    <w:rsid w:val="00FB1509"/>
    <w:rsid w:val="00FD72CA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table" w:styleId="ab">
    <w:name w:val="Table Grid"/>
    <w:basedOn w:val="a1"/>
    <w:uiPriority w:val="39"/>
    <w:rsid w:val="000339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n.i.bushueva@urfu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1D226AA-3153-409B-8E99-9D24C7782A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405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O_o</dc:creator>
  <cp:lastModifiedBy>I-on</cp:lastModifiedBy>
  <cp:revision>4</cp:revision>
  <cp:lastPrinted>2026-01-28T14:24:00Z</cp:lastPrinted>
  <dcterms:created xsi:type="dcterms:W3CDTF">2026-03-21T14:48:00Z</dcterms:created>
  <dcterms:modified xsi:type="dcterms:W3CDTF">2026-03-21T14:49:00Z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