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4F9B" w14:textId="77777777" w:rsidR="00560BEE" w:rsidRDefault="001236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Влияние кислородных вакансий на упругие свойства</w:t>
      </w:r>
      <w:r w:rsidR="00DF1251">
        <w:rPr>
          <w:b/>
          <w:color w:val="000000"/>
        </w:rPr>
        <w:br/>
      </w:r>
      <w:proofErr w:type="spellStart"/>
      <w:r>
        <w:rPr>
          <w:b/>
          <w:color w:val="000000"/>
        </w:rPr>
        <w:t>высокоэнтропийного</w:t>
      </w:r>
      <w:proofErr w:type="spellEnd"/>
      <w:r>
        <w:rPr>
          <w:b/>
          <w:color w:val="000000"/>
        </w:rPr>
        <w:t xml:space="preserve"> оксида циркония</w:t>
      </w:r>
    </w:p>
    <w:p w14:paraId="00000002" w14:textId="0F8C3B74" w:rsidR="00130241" w:rsidRPr="0053345D" w:rsidRDefault="001236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Бастриков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Шишкин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53345D">
        <w:rPr>
          <w:b/>
          <w:i/>
          <w:iCs/>
          <w:color w:val="000000"/>
        </w:rPr>
        <w:t>, Карташов В.В.</w:t>
      </w:r>
      <w:r w:rsidR="0053345D">
        <w:rPr>
          <w:b/>
          <w:i/>
          <w:iCs/>
          <w:color w:val="000000"/>
          <w:vertAlign w:val="superscript"/>
        </w:rPr>
        <w:t>1</w:t>
      </w:r>
    </w:p>
    <w:p w14:paraId="7AC20DCB" w14:textId="77777777" w:rsidR="00DF1251" w:rsidRDefault="00DF1251" w:rsidP="00C20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7604C61A" w14:textId="5C999330" w:rsidR="00DF1251" w:rsidRDefault="00EB1F49" w:rsidP="00C20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53345D">
        <w:rPr>
          <w:i/>
          <w:color w:val="000000"/>
        </w:rPr>
        <w:t>УрФУ имени первого Президента России Б.Н. Ельцина, Екатеринбург,</w:t>
      </w:r>
      <w:r>
        <w:rPr>
          <w:i/>
          <w:color w:val="000000"/>
        </w:rPr>
        <w:t xml:space="preserve"> Россия</w:t>
      </w:r>
    </w:p>
    <w:p w14:paraId="1105799B" w14:textId="77777777" w:rsidR="00DF1251" w:rsidRDefault="00EB1F49" w:rsidP="00C20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53345D">
        <w:rPr>
          <w:i/>
          <w:color w:val="000000"/>
          <w:vertAlign w:val="superscript"/>
        </w:rPr>
        <w:t xml:space="preserve"> </w:t>
      </w:r>
      <w:r w:rsidR="0053345D">
        <w:rPr>
          <w:i/>
          <w:color w:val="000000"/>
        </w:rPr>
        <w:t xml:space="preserve">Институт химии твердого тела </w:t>
      </w:r>
      <w:proofErr w:type="spellStart"/>
      <w:r w:rsidR="0053345D">
        <w:rPr>
          <w:i/>
          <w:color w:val="000000"/>
        </w:rPr>
        <w:t>УрО</w:t>
      </w:r>
      <w:proofErr w:type="spellEnd"/>
      <w:r w:rsidR="0053345D">
        <w:rPr>
          <w:i/>
          <w:color w:val="000000"/>
        </w:rPr>
        <w:t xml:space="preserve"> РАН, Екатеринбург</w:t>
      </w:r>
      <w:r w:rsidR="002B1CD0" w:rsidRPr="002B1CD0">
        <w:rPr>
          <w:i/>
          <w:color w:val="000000"/>
        </w:rPr>
        <w:t>, Россия</w:t>
      </w:r>
    </w:p>
    <w:p w14:paraId="00000008" w14:textId="7D612922" w:rsidR="00130241" w:rsidRPr="00560BEE" w:rsidRDefault="00EB1F49" w:rsidP="00C20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60BEE">
        <w:rPr>
          <w:i/>
          <w:color w:val="000000"/>
        </w:rPr>
        <w:t>E</w:t>
      </w:r>
      <w:r w:rsidR="003B76D6" w:rsidRPr="00560BEE">
        <w:rPr>
          <w:i/>
          <w:color w:val="000000"/>
        </w:rPr>
        <w:t>-</w:t>
      </w:r>
      <w:r w:rsidRPr="00560BEE">
        <w:rPr>
          <w:i/>
          <w:color w:val="000000"/>
        </w:rPr>
        <w:t>mail</w:t>
      </w:r>
      <w:r w:rsidR="0053345D" w:rsidRPr="00560BEE">
        <w:rPr>
          <w:i/>
          <w:color w:val="000000"/>
        </w:rPr>
        <w:t xml:space="preserve">: </w:t>
      </w:r>
      <w:hyperlink r:id="rId6" w:history="1">
        <w:r w:rsidR="0053345D" w:rsidRPr="00560BEE">
          <w:rPr>
            <w:rStyle w:val="a9"/>
            <w:i/>
            <w:color w:val="000000"/>
            <w:lang w:val="en-GB"/>
          </w:rPr>
          <w:t>romanbastrikov</w:t>
        </w:r>
        <w:r w:rsidR="0053345D" w:rsidRPr="00560BEE">
          <w:rPr>
            <w:rStyle w:val="a9"/>
            <w:i/>
            <w:color w:val="000000"/>
          </w:rPr>
          <w:t>@</w:t>
        </w:r>
        <w:r w:rsidR="0053345D" w:rsidRPr="00560BEE">
          <w:rPr>
            <w:rStyle w:val="a9"/>
            <w:i/>
            <w:color w:val="000000"/>
            <w:lang w:val="en-US"/>
          </w:rPr>
          <w:t>gmail</w:t>
        </w:r>
        <w:r w:rsidR="0053345D" w:rsidRPr="00560BEE">
          <w:rPr>
            <w:rStyle w:val="a9"/>
            <w:i/>
            <w:color w:val="000000"/>
          </w:rPr>
          <w:t>.</w:t>
        </w:r>
        <w:r w:rsidR="0053345D" w:rsidRPr="00560BEE">
          <w:rPr>
            <w:rStyle w:val="a9"/>
            <w:i/>
            <w:color w:val="000000"/>
            <w:lang w:val="en-US"/>
          </w:rPr>
          <w:t>com</w:t>
        </w:r>
      </w:hyperlink>
    </w:p>
    <w:p w14:paraId="6D9E8614" w14:textId="13F8237A" w:rsidR="0053345D" w:rsidRDefault="00110963" w:rsidP="00533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110963">
        <w:rPr>
          <w:iCs/>
          <w:color w:val="000000"/>
        </w:rPr>
        <w:t>Высокоэнтропийные материалы, содержащие пять и</w:t>
      </w:r>
      <w:r w:rsidR="00C738E2">
        <w:rPr>
          <w:iCs/>
          <w:color w:val="000000"/>
        </w:rPr>
        <w:t>ли значительно</w:t>
      </w:r>
      <w:r w:rsidRPr="00110963">
        <w:rPr>
          <w:iCs/>
          <w:color w:val="000000"/>
        </w:rPr>
        <w:t xml:space="preserve"> бол</w:t>
      </w:r>
      <w:r w:rsidR="00C738E2">
        <w:rPr>
          <w:iCs/>
          <w:color w:val="000000"/>
        </w:rPr>
        <w:t>ьш</w:t>
      </w:r>
      <w:r w:rsidRPr="00110963">
        <w:rPr>
          <w:iCs/>
          <w:color w:val="000000"/>
        </w:rPr>
        <w:t xml:space="preserve">е катионов в </w:t>
      </w:r>
      <w:proofErr w:type="spellStart"/>
      <w:r w:rsidRPr="00110963">
        <w:rPr>
          <w:iCs/>
          <w:color w:val="000000"/>
        </w:rPr>
        <w:t>эквиатомных</w:t>
      </w:r>
      <w:proofErr w:type="spellEnd"/>
      <w:r w:rsidRPr="00110963">
        <w:rPr>
          <w:iCs/>
          <w:color w:val="000000"/>
        </w:rPr>
        <w:t xml:space="preserve"> или </w:t>
      </w:r>
      <w:r w:rsidR="00C738E2">
        <w:rPr>
          <w:iCs/>
          <w:color w:val="000000"/>
        </w:rPr>
        <w:t>друг</w:t>
      </w:r>
      <w:r w:rsidRPr="00110963">
        <w:rPr>
          <w:iCs/>
          <w:color w:val="000000"/>
        </w:rPr>
        <w:t xml:space="preserve">их пропорциях, обладают уникальными физико-механическими свойствами благодаря эффекту конфигурационной </w:t>
      </w:r>
      <w:r w:rsidRPr="00E05695">
        <w:rPr>
          <w:iCs/>
          <w:color w:val="000000"/>
        </w:rPr>
        <w:t xml:space="preserve">энтропии </w:t>
      </w:r>
      <w:r w:rsidRPr="00110963">
        <w:rPr>
          <w:iCs/>
          <w:color w:val="000000"/>
        </w:rPr>
        <w:t>(∆S</w:t>
      </w:r>
      <w:r w:rsidRPr="00110963">
        <w:rPr>
          <w:iCs/>
          <w:color w:val="000000"/>
          <w:vertAlign w:val="subscript"/>
          <w:lang w:val="en-GB"/>
        </w:rPr>
        <w:t>mix</w:t>
      </w:r>
      <w:r w:rsidRPr="00110963">
        <w:rPr>
          <w:iCs/>
          <w:color w:val="000000"/>
        </w:rPr>
        <w:t xml:space="preserve"> ≥ 1,6 R)</w:t>
      </w:r>
      <w:r>
        <w:rPr>
          <w:iCs/>
          <w:color w:val="000000"/>
        </w:rPr>
        <w:t xml:space="preserve"> </w:t>
      </w:r>
      <w:r w:rsidRPr="00110963">
        <w:rPr>
          <w:iCs/>
          <w:color w:val="000000"/>
        </w:rPr>
        <w:t xml:space="preserve">[1]. Несмотря на активное изучение фазовой стабильности таких систем, влияние точечных дефектов, индуцированных </w:t>
      </w:r>
      <w:r w:rsidR="00921D34">
        <w:rPr>
          <w:iCs/>
          <w:color w:val="000000"/>
        </w:rPr>
        <w:t>при</w:t>
      </w:r>
      <w:r w:rsidRPr="00110963">
        <w:rPr>
          <w:iCs/>
          <w:color w:val="000000"/>
        </w:rPr>
        <w:t xml:space="preserve"> консолидации, на упругие характеристики </w:t>
      </w:r>
      <w:r w:rsidR="00C738E2">
        <w:rPr>
          <w:iCs/>
          <w:color w:val="000000"/>
        </w:rPr>
        <w:t xml:space="preserve">материала </w:t>
      </w:r>
      <w:r w:rsidRPr="00110963">
        <w:rPr>
          <w:iCs/>
          <w:color w:val="000000"/>
        </w:rPr>
        <w:t>остаётся недостаточно исследованным. Целью данной работы является установление взаимосвязи между дефектной структурой, формируемой в процессе искрового плазменного спекания (далее SPS), и упругими свойствами высокоэнтропийного оксида циркония. Особое внимание уделено роли кислородных вакансий, образующихся при</w:t>
      </w:r>
      <w:r>
        <w:rPr>
          <w:iCs/>
          <w:color w:val="000000"/>
        </w:rPr>
        <w:t xml:space="preserve"> переходе</w:t>
      </w:r>
      <w:r w:rsidRPr="00110963">
        <w:rPr>
          <w:iCs/>
          <w:color w:val="000000"/>
        </w:rPr>
        <w:t xml:space="preserve"> Ce</w:t>
      </w:r>
      <w:r w:rsidRPr="00110963">
        <w:rPr>
          <w:iCs/>
          <w:color w:val="000000"/>
          <w:vertAlign w:val="superscript"/>
        </w:rPr>
        <w:t>4+</w:t>
      </w:r>
      <w:r w:rsidRPr="00110963">
        <w:rPr>
          <w:iCs/>
          <w:color w:val="000000"/>
        </w:rPr>
        <w:t>→Ce</w:t>
      </w:r>
      <w:r w:rsidRPr="00110963">
        <w:rPr>
          <w:iCs/>
          <w:color w:val="000000"/>
          <w:vertAlign w:val="superscript"/>
        </w:rPr>
        <w:t>3+</w:t>
      </w:r>
      <w:r w:rsidRPr="00110963">
        <w:rPr>
          <w:iCs/>
          <w:color w:val="000000"/>
        </w:rPr>
        <w:t xml:space="preserve">, в формировании аномально высоких значений коэффициента Пуассона, что открывает новые перспективы для </w:t>
      </w:r>
      <w:r w:rsidR="00921D34">
        <w:rPr>
          <w:iCs/>
          <w:color w:val="000000"/>
        </w:rPr>
        <w:t xml:space="preserve">управления </w:t>
      </w:r>
      <w:r w:rsidRPr="00921D34">
        <w:rPr>
          <w:iCs/>
          <w:color w:val="000000"/>
        </w:rPr>
        <w:t xml:space="preserve">дефектной </w:t>
      </w:r>
      <w:r w:rsidR="00921D34">
        <w:rPr>
          <w:iCs/>
          <w:color w:val="000000"/>
        </w:rPr>
        <w:t xml:space="preserve">структурой </w:t>
      </w:r>
      <w:r w:rsidRPr="00110963">
        <w:rPr>
          <w:iCs/>
          <w:color w:val="000000"/>
        </w:rPr>
        <w:t>керамики.</w:t>
      </w:r>
    </w:p>
    <w:p w14:paraId="33DE86EE" w14:textId="12355CEF" w:rsidR="00110963" w:rsidRDefault="00110963" w:rsidP="00533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ru"/>
        </w:rPr>
      </w:pPr>
      <w:r w:rsidRPr="00110963">
        <w:rPr>
          <w:iCs/>
          <w:color w:val="000000"/>
        </w:rPr>
        <w:t xml:space="preserve">В качестве объекта исследования выбран многокомпонентный </w:t>
      </w:r>
      <w:r w:rsidR="003F0CBE">
        <w:rPr>
          <w:iCs/>
          <w:color w:val="000000"/>
        </w:rPr>
        <w:t xml:space="preserve">материал </w:t>
      </w:r>
      <w:r w:rsidRPr="00110963">
        <w:rPr>
          <w:iCs/>
          <w:color w:val="000000"/>
        </w:rPr>
        <w:t>(</w:t>
      </w:r>
      <w:r w:rsidRPr="00110963">
        <w:rPr>
          <w:iCs/>
          <w:color w:val="000000"/>
          <w:lang w:val="en-US"/>
        </w:rPr>
        <w:t>Zr</w:t>
      </w:r>
      <w:r w:rsidRPr="00110963">
        <w:rPr>
          <w:iCs/>
          <w:color w:val="000000"/>
          <w:vertAlign w:val="subscript"/>
        </w:rPr>
        <w:t>0.42</w:t>
      </w:r>
      <w:r w:rsidRPr="00110963">
        <w:rPr>
          <w:iCs/>
          <w:color w:val="000000"/>
          <w:lang w:val="en-US"/>
        </w:rPr>
        <w:t>Ce</w:t>
      </w:r>
      <w:r w:rsidRPr="00110963">
        <w:rPr>
          <w:iCs/>
          <w:color w:val="000000"/>
          <w:vertAlign w:val="subscript"/>
        </w:rPr>
        <w:t>0.10</w:t>
      </w:r>
      <w:r w:rsidRPr="00110963">
        <w:rPr>
          <w:iCs/>
          <w:color w:val="000000"/>
          <w:lang w:val="en-US"/>
        </w:rPr>
        <w:t>Ti</w:t>
      </w:r>
      <w:r w:rsidRPr="00110963">
        <w:rPr>
          <w:iCs/>
          <w:color w:val="000000"/>
          <w:vertAlign w:val="subscript"/>
        </w:rPr>
        <w:t>0.079</w:t>
      </w:r>
      <w:r w:rsidRPr="00110963">
        <w:rPr>
          <w:iCs/>
          <w:color w:val="000000"/>
          <w:lang w:val="en-US"/>
        </w:rPr>
        <w:t>Nb</w:t>
      </w:r>
      <w:r w:rsidRPr="00110963">
        <w:rPr>
          <w:iCs/>
          <w:color w:val="000000"/>
          <w:vertAlign w:val="subscript"/>
        </w:rPr>
        <w:t>0.088</w:t>
      </w:r>
      <w:r w:rsidRPr="00110963">
        <w:rPr>
          <w:iCs/>
          <w:color w:val="000000"/>
          <w:lang w:val="en-US"/>
        </w:rPr>
        <w:t>Mg</w:t>
      </w:r>
      <w:r w:rsidRPr="00110963">
        <w:rPr>
          <w:iCs/>
          <w:color w:val="000000"/>
          <w:vertAlign w:val="subscript"/>
        </w:rPr>
        <w:t>0.10</w:t>
      </w:r>
      <w:r w:rsidRPr="00110963">
        <w:rPr>
          <w:iCs/>
          <w:color w:val="000000"/>
          <w:lang w:val="en-US"/>
        </w:rPr>
        <w:t>Ca</w:t>
      </w:r>
      <w:r w:rsidRPr="00110963">
        <w:rPr>
          <w:iCs/>
          <w:color w:val="000000"/>
          <w:vertAlign w:val="subscript"/>
        </w:rPr>
        <w:t>0.10</w:t>
      </w:r>
      <w:r w:rsidRPr="00110963">
        <w:rPr>
          <w:iCs/>
          <w:color w:val="000000"/>
          <w:lang w:val="en-US"/>
        </w:rPr>
        <w:t>Sc</w:t>
      </w:r>
      <w:r w:rsidRPr="00110963">
        <w:rPr>
          <w:iCs/>
          <w:color w:val="000000"/>
          <w:vertAlign w:val="subscript"/>
        </w:rPr>
        <w:t>0.050</w:t>
      </w:r>
      <w:r w:rsidRPr="00110963">
        <w:rPr>
          <w:iCs/>
          <w:color w:val="000000"/>
          <w:lang w:val="en-US"/>
        </w:rPr>
        <w:t>Gd</w:t>
      </w:r>
      <w:r w:rsidRPr="00110963">
        <w:rPr>
          <w:iCs/>
          <w:color w:val="000000"/>
          <w:vertAlign w:val="subscript"/>
        </w:rPr>
        <w:t>0.031</w:t>
      </w:r>
      <w:r w:rsidRPr="00110963">
        <w:rPr>
          <w:iCs/>
          <w:color w:val="000000"/>
          <w:lang w:val="en-US"/>
        </w:rPr>
        <w:t>Yb</w:t>
      </w:r>
      <w:r w:rsidRPr="00110963">
        <w:rPr>
          <w:iCs/>
          <w:color w:val="000000"/>
          <w:vertAlign w:val="subscript"/>
        </w:rPr>
        <w:t>0.031</w:t>
      </w:r>
      <w:r w:rsidRPr="00110963">
        <w:rPr>
          <w:iCs/>
          <w:color w:val="000000"/>
          <w:lang w:val="en-US"/>
        </w:rPr>
        <w:t>Al</w:t>
      </w:r>
      <w:r w:rsidRPr="00110963">
        <w:rPr>
          <w:iCs/>
          <w:color w:val="000000"/>
          <w:vertAlign w:val="subscript"/>
        </w:rPr>
        <w:t>0.</w:t>
      </w:r>
      <w:proofErr w:type="gramStart"/>
      <w:r w:rsidRPr="00110963">
        <w:rPr>
          <w:iCs/>
          <w:color w:val="000000"/>
          <w:vertAlign w:val="subscript"/>
        </w:rPr>
        <w:t>002</w:t>
      </w:r>
      <w:r w:rsidRPr="00110963">
        <w:rPr>
          <w:iCs/>
          <w:color w:val="000000"/>
        </w:rPr>
        <w:t>)</w:t>
      </w:r>
      <w:r w:rsidRPr="00110963">
        <w:rPr>
          <w:iCs/>
          <w:color w:val="000000"/>
          <w:lang w:val="en-US"/>
        </w:rPr>
        <w:t>O</w:t>
      </w:r>
      <w:proofErr w:type="gramEnd"/>
      <w:r w:rsidRPr="00110963">
        <w:rPr>
          <w:iCs/>
          <w:color w:val="000000"/>
          <w:vertAlign w:val="subscript"/>
        </w:rPr>
        <w:t>2-δ</w:t>
      </w:r>
      <w:r w:rsidRPr="00110963">
        <w:rPr>
          <w:iCs/>
          <w:color w:val="000000"/>
        </w:rPr>
        <w:t xml:space="preserve">, </w:t>
      </w:r>
      <w:r w:rsidR="003F0CBE" w:rsidRPr="003F0CBE">
        <w:rPr>
          <w:iCs/>
          <w:color w:val="000000"/>
        </w:rPr>
        <w:t>состав</w:t>
      </w:r>
      <w:r w:rsidR="003F0CBE">
        <w:rPr>
          <w:iCs/>
          <w:color w:val="000000"/>
        </w:rPr>
        <w:t xml:space="preserve"> которого </w:t>
      </w:r>
      <w:r w:rsidRPr="00110963">
        <w:rPr>
          <w:iCs/>
          <w:color w:val="000000"/>
        </w:rPr>
        <w:t>подобран экспериментально с учётом зарядового дисбаланса</w:t>
      </w:r>
      <w:r w:rsidR="003F0CBE">
        <w:rPr>
          <w:iCs/>
          <w:color w:val="000000"/>
        </w:rPr>
        <w:t>,</w:t>
      </w:r>
      <w:r w:rsidRPr="00110963">
        <w:rPr>
          <w:iCs/>
          <w:color w:val="000000"/>
        </w:rPr>
        <w:t xml:space="preserve"> подтвердивший однофазную структуру на этапе </w:t>
      </w:r>
      <w:r>
        <w:rPr>
          <w:iCs/>
          <w:color w:val="000000"/>
        </w:rPr>
        <w:t xml:space="preserve">подготовки </w:t>
      </w:r>
      <w:r w:rsidRPr="00110963">
        <w:rPr>
          <w:iCs/>
          <w:color w:val="000000"/>
        </w:rPr>
        <w:t xml:space="preserve">порошка. Консолидацию проводили методом SPS при 1600 °C в вакууме с использованием графитовой оснастки, создающей восстановительную атмосферу. Рентгеновская фотоэлектронная спектроскопия (XPS) выявила </w:t>
      </w:r>
      <w:r w:rsidR="002F4B64">
        <w:rPr>
          <w:iCs/>
          <w:color w:val="000000"/>
        </w:rPr>
        <w:t>практически</w:t>
      </w:r>
      <w:r w:rsidRPr="00110963">
        <w:rPr>
          <w:iCs/>
          <w:color w:val="000000"/>
        </w:rPr>
        <w:t xml:space="preserve"> полное восстановление церия до состояния Ce</w:t>
      </w:r>
      <w:r w:rsidRPr="00110963">
        <w:rPr>
          <w:iCs/>
          <w:color w:val="000000"/>
          <w:vertAlign w:val="superscript"/>
        </w:rPr>
        <w:t>3+</w:t>
      </w:r>
      <w:r w:rsidRPr="00110963">
        <w:rPr>
          <w:iCs/>
          <w:color w:val="000000"/>
        </w:rPr>
        <w:t>, что прив</w:t>
      </w:r>
      <w:r w:rsidR="002F4B64">
        <w:rPr>
          <w:iCs/>
          <w:color w:val="000000"/>
        </w:rPr>
        <w:t>оди</w:t>
      </w:r>
      <w:r w:rsidRPr="00110963">
        <w:rPr>
          <w:iCs/>
          <w:color w:val="000000"/>
        </w:rPr>
        <w:t xml:space="preserve">ло к резкому росту концентрации кислородных вакансий для компенсации заряда в кристаллической решётке </w:t>
      </w:r>
      <w:r w:rsidR="002F4B64">
        <w:rPr>
          <w:iCs/>
          <w:color w:val="000000"/>
        </w:rPr>
        <w:t xml:space="preserve">типа </w:t>
      </w:r>
      <w:r w:rsidRPr="00110963">
        <w:rPr>
          <w:iCs/>
          <w:color w:val="000000"/>
        </w:rPr>
        <w:t>флюорита.</w:t>
      </w:r>
    </w:p>
    <w:p w14:paraId="57F82DEF" w14:textId="7D55CF35" w:rsidR="00110963" w:rsidRDefault="00110963" w:rsidP="00533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110963">
        <w:rPr>
          <w:iCs/>
          <w:color w:val="000000"/>
        </w:rPr>
        <w:t xml:space="preserve">Ультразвуковые измерения скоростей распространения волн выявили сочетание высокого объёмного модуля (K = 304 ГПа) и низкого модуля сдвига (G = 79 ГПа), что соответствует коэффициенту Пуассона ν = 0,38 ± 0,02. Рентгенофазовый анализ подтвердил структуру флюорита с асимметрией рефлексов, указывающей на </w:t>
      </w:r>
      <w:r w:rsidRPr="003F0CBE">
        <w:rPr>
          <w:iCs/>
          <w:color w:val="000000"/>
        </w:rPr>
        <w:t xml:space="preserve">метастабильную неоднородность </w:t>
      </w:r>
      <w:r w:rsidR="002F4B64">
        <w:rPr>
          <w:iCs/>
          <w:color w:val="000000"/>
        </w:rPr>
        <w:t xml:space="preserve">на наноуровне </w:t>
      </w:r>
      <w:r w:rsidRPr="003F0CBE">
        <w:rPr>
          <w:iCs/>
          <w:color w:val="000000"/>
        </w:rPr>
        <w:t xml:space="preserve">и наличие микронапряжений после проведения SPS. </w:t>
      </w:r>
      <w:r w:rsidR="003F0CBE" w:rsidRPr="003F0CBE">
        <w:rPr>
          <w:iCs/>
          <w:color w:val="000000"/>
        </w:rPr>
        <w:t>Относительная плотность керамического материала 98,5 %.</w:t>
      </w:r>
      <w:r w:rsidR="003F0CBE" w:rsidRPr="00110963">
        <w:rPr>
          <w:iCs/>
          <w:color w:val="000000"/>
        </w:rPr>
        <w:t xml:space="preserve"> </w:t>
      </w:r>
      <w:r w:rsidRPr="00110963">
        <w:rPr>
          <w:iCs/>
          <w:color w:val="000000"/>
        </w:rPr>
        <w:t>Дальнейший отжиг для удаления примесного углерода (1500 °С, 12 ч) устранил асимметрию рефлексов, но выявил минорные фазы (&lt;8%), свидетельствующие о частичной сегрегации компонентов при стремлении системы к термодинамическому равновесию.</w:t>
      </w:r>
    </w:p>
    <w:p w14:paraId="3A8C6C6A" w14:textId="0577BA2E" w:rsidR="0053345D" w:rsidRDefault="00110963" w:rsidP="00110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110963">
        <w:rPr>
          <w:iCs/>
          <w:color w:val="000000"/>
        </w:rPr>
        <w:t>Кластеры кислородных вакансий, образующиеся при переходе Ce</w:t>
      </w:r>
      <w:r w:rsidRPr="00110963">
        <w:rPr>
          <w:iCs/>
          <w:color w:val="000000"/>
          <w:vertAlign w:val="superscript"/>
        </w:rPr>
        <w:t>4+</w:t>
      </w:r>
      <w:r w:rsidRPr="00110963">
        <w:rPr>
          <w:iCs/>
          <w:color w:val="000000"/>
        </w:rPr>
        <w:t>→Ce</w:t>
      </w:r>
      <w:r w:rsidRPr="00110963">
        <w:rPr>
          <w:iCs/>
          <w:color w:val="000000"/>
          <w:vertAlign w:val="superscript"/>
        </w:rPr>
        <w:t>3+</w:t>
      </w:r>
      <w:r w:rsidRPr="00110963">
        <w:rPr>
          <w:iCs/>
          <w:color w:val="000000"/>
        </w:rPr>
        <w:t>, создают зоны</w:t>
      </w:r>
      <w:r w:rsidR="002F4B64">
        <w:rPr>
          <w:iCs/>
          <w:color w:val="000000"/>
        </w:rPr>
        <w:t>, хорошо поддающиеся деформации</w:t>
      </w:r>
      <w:r w:rsidRPr="00110963">
        <w:rPr>
          <w:iCs/>
          <w:color w:val="000000"/>
        </w:rPr>
        <w:t xml:space="preserve"> сдвига, тогда как </w:t>
      </w:r>
      <w:proofErr w:type="spellStart"/>
      <w:r w:rsidRPr="00110963">
        <w:rPr>
          <w:iCs/>
          <w:color w:val="000000"/>
        </w:rPr>
        <w:t>Zr</w:t>
      </w:r>
      <w:proofErr w:type="spellEnd"/>
      <w:r w:rsidRPr="00110963">
        <w:rPr>
          <w:iCs/>
          <w:color w:val="000000"/>
        </w:rPr>
        <w:t xml:space="preserve">-обогащённые кластеры обеспечивают сопротивление сжатию. Таким образом, SPS в восстановительных условиях позволяет формировать метастабильные дефектные состояния с регулируемым сочетанием свойств. Управление валентным состоянием катионов и концентрацией вакансий посредством режимов спекания открывает путь к созданию высокопрочной керамики с заданным </w:t>
      </w:r>
      <w:r w:rsidRPr="003F0CBE">
        <w:rPr>
          <w:iCs/>
          <w:color w:val="000000"/>
        </w:rPr>
        <w:t>откликом</w:t>
      </w:r>
      <w:r w:rsidR="003F0CBE" w:rsidRPr="003F0CBE">
        <w:rPr>
          <w:iCs/>
          <w:color w:val="000000"/>
        </w:rPr>
        <w:t xml:space="preserve"> на механические</w:t>
      </w:r>
      <w:r w:rsidR="003F0CBE">
        <w:rPr>
          <w:iCs/>
          <w:color w:val="000000"/>
        </w:rPr>
        <w:t xml:space="preserve"> воздействия</w:t>
      </w:r>
      <w:r w:rsidRPr="00110963">
        <w:rPr>
          <w:iCs/>
          <w:color w:val="000000"/>
        </w:rPr>
        <w:t xml:space="preserve">, </w:t>
      </w:r>
      <w:r w:rsidR="003F0CBE">
        <w:rPr>
          <w:iCs/>
          <w:color w:val="000000"/>
        </w:rPr>
        <w:t>при этом</w:t>
      </w:r>
      <w:r w:rsidRPr="00110963">
        <w:rPr>
          <w:iCs/>
          <w:color w:val="000000"/>
        </w:rPr>
        <w:t xml:space="preserve"> аномальный коэффициент Пуассона служит индикатором специфической дефектной структуры.</w:t>
      </w:r>
    </w:p>
    <w:p w14:paraId="76C5B9A3" w14:textId="6BD79502" w:rsidR="00110963" w:rsidRPr="00110963" w:rsidRDefault="00110963" w:rsidP="00110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10963">
        <w:rPr>
          <w:i/>
          <w:iCs/>
          <w:color w:val="000000"/>
        </w:rPr>
        <w:t xml:space="preserve">Работа выполнена при финансовой поддержке Министерства науки и высшего образования РФ (тема № </w:t>
      </w:r>
      <w:r w:rsidRPr="00110963">
        <w:rPr>
          <w:i/>
          <w:iCs/>
          <w:color w:val="000000"/>
          <w:lang w:val="en-US"/>
        </w:rPr>
        <w:t>FEUZ</w:t>
      </w:r>
      <w:r w:rsidRPr="00110963">
        <w:rPr>
          <w:i/>
          <w:iCs/>
          <w:color w:val="000000"/>
        </w:rPr>
        <w:t>-2026-0009)</w:t>
      </w:r>
      <w:r>
        <w:rPr>
          <w:i/>
          <w:iCs/>
          <w:color w:val="000000"/>
        </w:rPr>
        <w:t>.</w:t>
      </w:r>
    </w:p>
    <w:p w14:paraId="0000000E" w14:textId="77777777" w:rsidR="00130241" w:rsidRDefault="00EB1F49" w:rsidP="00110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42502CBC" w14:textId="53254BC0" w:rsidR="00DF1251" w:rsidRDefault="00110963" w:rsidP="00560B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GB"/>
        </w:rPr>
        <w:t xml:space="preserve">1. </w:t>
      </w:r>
      <w:r w:rsidRPr="00110963">
        <w:rPr>
          <w:color w:val="000000"/>
          <w:lang w:val="en-US"/>
        </w:rPr>
        <w:t>Dube T. C., Zhang J. Underpinning the relationship between synthesis and properties of high entropy ceramics: A comprehensive review on borides, carbides and oxides // Journal of the European Ceramic Society</w:t>
      </w:r>
      <w:r w:rsidR="007E46B6" w:rsidRPr="007E46B6">
        <w:rPr>
          <w:color w:val="000000"/>
          <w:lang w:val="en-US"/>
        </w:rPr>
        <w:t>,</w:t>
      </w:r>
      <w:r w:rsidRPr="00110963">
        <w:rPr>
          <w:color w:val="000000"/>
          <w:lang w:val="en-US"/>
        </w:rPr>
        <w:t xml:space="preserve"> 2024</w:t>
      </w:r>
      <w:r w:rsidR="007E46B6" w:rsidRPr="007E46B6">
        <w:rPr>
          <w:color w:val="000000"/>
          <w:lang w:val="en-US"/>
        </w:rPr>
        <w:t>.</w:t>
      </w:r>
      <w:r w:rsidRPr="00110963">
        <w:rPr>
          <w:color w:val="000000"/>
          <w:lang w:val="en-US"/>
        </w:rPr>
        <w:t xml:space="preserve"> Vol</w:t>
      </w:r>
      <w:r w:rsidRPr="00FB08EE">
        <w:rPr>
          <w:color w:val="000000"/>
        </w:rPr>
        <w:t>. 44</w:t>
      </w:r>
      <w:r w:rsidR="007E46B6">
        <w:rPr>
          <w:color w:val="000000"/>
        </w:rPr>
        <w:t>.</w:t>
      </w:r>
      <w:r w:rsidRPr="00FB08EE">
        <w:rPr>
          <w:color w:val="000000"/>
        </w:rPr>
        <w:t xml:space="preserve"> </w:t>
      </w:r>
      <w:r w:rsidRPr="00110963">
        <w:rPr>
          <w:color w:val="000000"/>
          <w:lang w:val="en-US"/>
        </w:rPr>
        <w:t>P</w:t>
      </w:r>
      <w:r w:rsidRPr="00FB08EE">
        <w:rPr>
          <w:color w:val="000000"/>
        </w:rPr>
        <w:t>. 1335–1350.</w:t>
      </w:r>
    </w:p>
    <w:sectPr w:rsidR="00DF1251" w:rsidSect="00DF125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241678">
    <w:abstractNumId w:val="2"/>
  </w:num>
  <w:num w:numId="2" w16cid:durableId="1060323256">
    <w:abstractNumId w:val="3"/>
  </w:num>
  <w:num w:numId="3" w16cid:durableId="181016938">
    <w:abstractNumId w:val="1"/>
  </w:num>
  <w:num w:numId="4" w16cid:durableId="192487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01BA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0963"/>
    <w:rsid w:val="00116478"/>
    <w:rsid w:val="00123656"/>
    <w:rsid w:val="00130241"/>
    <w:rsid w:val="001E61C2"/>
    <w:rsid w:val="001F0493"/>
    <w:rsid w:val="0022260A"/>
    <w:rsid w:val="002264EE"/>
    <w:rsid w:val="0023307C"/>
    <w:rsid w:val="002B1CD0"/>
    <w:rsid w:val="002F4B64"/>
    <w:rsid w:val="0031361E"/>
    <w:rsid w:val="00344930"/>
    <w:rsid w:val="00373E2D"/>
    <w:rsid w:val="00391C38"/>
    <w:rsid w:val="003B76D6"/>
    <w:rsid w:val="003D09AD"/>
    <w:rsid w:val="003E2601"/>
    <w:rsid w:val="003F0CBE"/>
    <w:rsid w:val="003F4E6B"/>
    <w:rsid w:val="004A26A3"/>
    <w:rsid w:val="004F0EDF"/>
    <w:rsid w:val="00512DE7"/>
    <w:rsid w:val="00522BF1"/>
    <w:rsid w:val="0053345D"/>
    <w:rsid w:val="00560BEE"/>
    <w:rsid w:val="00590166"/>
    <w:rsid w:val="005B07E6"/>
    <w:rsid w:val="005D022B"/>
    <w:rsid w:val="005E5BE9"/>
    <w:rsid w:val="00665279"/>
    <w:rsid w:val="0069427D"/>
    <w:rsid w:val="006B0575"/>
    <w:rsid w:val="006F7A19"/>
    <w:rsid w:val="00705378"/>
    <w:rsid w:val="007213E1"/>
    <w:rsid w:val="00775389"/>
    <w:rsid w:val="00797838"/>
    <w:rsid w:val="007C36D8"/>
    <w:rsid w:val="007E46B6"/>
    <w:rsid w:val="007F2744"/>
    <w:rsid w:val="008931BE"/>
    <w:rsid w:val="008C67E3"/>
    <w:rsid w:val="00914205"/>
    <w:rsid w:val="00921D34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2696"/>
    <w:rsid w:val="00AD658A"/>
    <w:rsid w:val="00AD7380"/>
    <w:rsid w:val="00BF36F8"/>
    <w:rsid w:val="00BF4622"/>
    <w:rsid w:val="00C201BC"/>
    <w:rsid w:val="00C36346"/>
    <w:rsid w:val="00C738E2"/>
    <w:rsid w:val="00C844E2"/>
    <w:rsid w:val="00CD00B1"/>
    <w:rsid w:val="00D22306"/>
    <w:rsid w:val="00D37D84"/>
    <w:rsid w:val="00D42542"/>
    <w:rsid w:val="00D8121C"/>
    <w:rsid w:val="00DA4B0E"/>
    <w:rsid w:val="00DD47C4"/>
    <w:rsid w:val="00DF1251"/>
    <w:rsid w:val="00E05695"/>
    <w:rsid w:val="00E22189"/>
    <w:rsid w:val="00E74069"/>
    <w:rsid w:val="00E81D35"/>
    <w:rsid w:val="00EB1F49"/>
    <w:rsid w:val="00F55054"/>
    <w:rsid w:val="00F865B3"/>
    <w:rsid w:val="00F936B6"/>
    <w:rsid w:val="00FA2140"/>
    <w:rsid w:val="00FB08E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anbastrik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I-on</cp:lastModifiedBy>
  <cp:revision>4</cp:revision>
  <cp:lastPrinted>2026-01-28T14:24:00Z</cp:lastPrinted>
  <dcterms:created xsi:type="dcterms:W3CDTF">2026-04-07T20:52:00Z</dcterms:created>
  <dcterms:modified xsi:type="dcterms:W3CDTF">2026-04-07T20:53:00Z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