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60C5" w14:textId="6E6222D6" w:rsidR="00E7170E" w:rsidRPr="00E7170E" w:rsidRDefault="004F7AC9" w:rsidP="00E717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AC9">
        <w:rPr>
          <w:rFonts w:ascii="Times New Roman" w:hAnsi="Times New Roman" w:cs="Times New Roman"/>
          <w:b/>
          <w:bCs/>
          <w:sz w:val="24"/>
          <w:szCs w:val="24"/>
        </w:rPr>
        <w:t>Магнитные свойства и СВЧ-поглощение наночастиц гексаферрита стронция, полученных методом кристаллизации стекла</w:t>
      </w:r>
    </w:p>
    <w:p w14:paraId="0FE50B9B" w14:textId="21D0F6FF" w:rsidR="00D23C8B" w:rsidRPr="00CE5475" w:rsidRDefault="00C6501C" w:rsidP="00D23C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E547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Вэй Х</w:t>
      </w:r>
      <w:r w:rsidR="00E37AD2" w:rsidRPr="00CE547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  <w:r w:rsidR="00E37AD2" w:rsidRPr="00CE547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1</w:t>
      </w:r>
      <w:r w:rsidR="008A0DE8" w:rsidRPr="00CE547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,2</w:t>
      </w:r>
      <w:r w:rsidRPr="00CE547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="00E37AD2" w:rsidRPr="00CE547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E37AD2" w:rsidRPr="00CE547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Дуань</w:t>
      </w:r>
      <w:proofErr w:type="spellEnd"/>
      <w:r w:rsidR="00E37AD2" w:rsidRPr="00CE547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Ц.</w:t>
      </w:r>
      <w:r w:rsidR="00E37AD2" w:rsidRPr="00CE547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1</w:t>
      </w:r>
      <w:r w:rsidR="00BD46B8" w:rsidRPr="00CE547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,2</w:t>
      </w:r>
      <w:r w:rsidR="00E37AD2" w:rsidRPr="00CE547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CE5475">
        <w:rPr>
          <w:rFonts w:ascii="Times New Roman" w:hAnsi="Times New Roman" w:cs="Times New Roman" w:hint="eastAsia"/>
          <w:b/>
          <w:bCs/>
          <w:i/>
          <w:iCs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E7170E" w:rsidRPr="00CE5475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>Трусов Л.А</w:t>
      </w:r>
      <w:r w:rsidR="00E37AD2" w:rsidRPr="00CE5475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>.</w:t>
      </w:r>
      <w:r w:rsidR="00E37AD2" w:rsidRPr="00CE5475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1</w:t>
      </w:r>
      <w:r w:rsidR="00E7170E" w:rsidRPr="00CE547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CE5475">
        <w:rPr>
          <w:rFonts w:ascii="Times New Roman" w:hAnsi="Times New Roman" w:cs="Times New Roman" w:hint="eastAsia"/>
          <w:b/>
          <w:bCs/>
          <w:i/>
          <w:iCs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E7170E" w:rsidRPr="00CE547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Чэнь Ц</w:t>
      </w:r>
      <w:r w:rsidR="00E37AD2" w:rsidRPr="00CE547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  <w:r w:rsidR="00E37AD2" w:rsidRPr="00CE547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1</w:t>
      </w:r>
      <w:r w:rsidR="00BD46B8" w:rsidRPr="00CE547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,2</w:t>
      </w:r>
      <w:r w:rsidRPr="00CE5475">
        <w:rPr>
          <w:rFonts w:ascii="Times New Roman" w:eastAsia="SimSun" w:hAnsi="Times New Roman" w:cs="Times New Roman" w:hint="eastAsia"/>
          <w:b/>
          <w:bCs/>
          <w:i/>
          <w:iCs/>
          <w:color w:val="000000"/>
          <w:kern w:val="0"/>
          <w:sz w:val="24"/>
          <w:szCs w:val="24"/>
          <w:lang w:eastAsia="zh-CN"/>
          <w14:ligatures w14:val="none"/>
        </w:rPr>
        <w:t>,</w:t>
      </w:r>
      <w:r w:rsidR="004D3ECF" w:rsidRPr="00CE5475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E7170E" w:rsidRPr="00CE547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Алябьева Л</w:t>
      </w:r>
      <w:r w:rsidR="00E37AD2" w:rsidRPr="00CE547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.Н.</w:t>
      </w:r>
      <w:r w:rsidR="008A0DE8" w:rsidRPr="00CE547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3</w:t>
      </w:r>
    </w:p>
    <w:p w14:paraId="60FAE7B0" w14:textId="0D51B305" w:rsidR="00D23C8B" w:rsidRPr="00D23C8B" w:rsidRDefault="00D23C8B" w:rsidP="00D23C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23C8B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Студент, </w:t>
      </w:r>
      <w:r w:rsidR="00E7170E">
        <w:rPr>
          <w:rFonts w:ascii="Times New Roman" w:hAnsi="Times New Roman" w:cs="Times New Roman" w:hint="eastAsia"/>
          <w:i/>
          <w:color w:val="000000"/>
          <w:kern w:val="0"/>
          <w:sz w:val="24"/>
          <w:szCs w:val="24"/>
          <w:lang w:eastAsia="zh-CN"/>
          <w14:ligatures w14:val="none"/>
        </w:rPr>
        <w:t>2</w:t>
      </w:r>
      <w:r w:rsidRPr="00D23C8B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курс </w:t>
      </w:r>
      <w:r w:rsidR="00827D3D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магистратуры</w:t>
      </w:r>
    </w:p>
    <w:p w14:paraId="57433C68" w14:textId="338CCECA" w:rsidR="00B95833" w:rsidRDefault="004D3ECF" w:rsidP="005D58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</w:pPr>
      <w:r w:rsidRPr="004D3ECF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У</w:t>
      </w:r>
      <w:r w:rsidR="00D23C8B" w:rsidRPr="00D23C8B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ниверситет МГУ-ППИ, факультет на материалах, Шэньчжэнь, Китай</w:t>
      </w:r>
    </w:p>
    <w:p w14:paraId="776D509B" w14:textId="77777777" w:rsidR="00CE5475" w:rsidRDefault="004D3ECF" w:rsidP="005D58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2</w:t>
      </w:r>
      <w:r w:rsidRPr="004D3ECF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МГУ имени М.В. Ломоносова, </w:t>
      </w:r>
      <w:r w:rsidR="00BD46B8" w:rsidRPr="00D23C8B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факультет на материалах</w:t>
      </w:r>
      <w:r w:rsidRPr="004D3ECF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, Москва, Россия</w:t>
      </w:r>
    </w:p>
    <w:p w14:paraId="1497357D" w14:textId="08B8B5DC" w:rsidR="00D23C8B" w:rsidRPr="00B95833" w:rsidRDefault="004D3ECF" w:rsidP="005D58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kern w:val="0"/>
          <w:sz w:val="24"/>
          <w:szCs w:val="24"/>
          <w:lang w:eastAsia="zh-CN"/>
          <w14:ligatures w14:val="none"/>
        </w:rPr>
      </w:pPr>
      <w:r w:rsidRPr="004D3ECF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3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="00B95833" w:rsidRPr="00B95833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осковский физико-технический институт</w:t>
      </w:r>
      <w:r w:rsidR="00B95833">
        <w:rPr>
          <w:rFonts w:ascii="Times New Roman" w:hAnsi="Times New Roman" w:cs="Times New Roman" w:hint="eastAsia"/>
          <w:i/>
          <w:color w:val="000000"/>
          <w:kern w:val="0"/>
          <w:sz w:val="24"/>
          <w:szCs w:val="24"/>
          <w:lang w:eastAsia="zh-CN"/>
          <w14:ligatures w14:val="none"/>
        </w:rPr>
        <w:t xml:space="preserve">, </w:t>
      </w:r>
      <w:r w:rsidR="008363C7">
        <w:rPr>
          <w:rFonts w:ascii="Times New Roman" w:hAnsi="Times New Roman" w:cs="Times New Roman"/>
          <w:i/>
          <w:color w:val="000000"/>
          <w:kern w:val="0"/>
          <w:sz w:val="24"/>
          <w:szCs w:val="24"/>
          <w:lang w:eastAsia="zh-CN"/>
          <w14:ligatures w14:val="none"/>
        </w:rPr>
        <w:t>Долгопрудный</w:t>
      </w:r>
      <w:r w:rsidR="008363C7" w:rsidRPr="00D23C8B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,</w:t>
      </w:r>
      <w:r w:rsidR="008363C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Россия</w:t>
      </w:r>
    </w:p>
    <w:p w14:paraId="4EB56F12" w14:textId="77777777" w:rsidR="00CE5475" w:rsidRPr="00CE5475" w:rsidRDefault="00D23C8B" w:rsidP="005D58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</w:pPr>
      <w:r w:rsidRPr="00CE547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E-mail: </w:t>
      </w:r>
      <w:hyperlink r:id="rId7" w:history="1">
        <w:r w:rsidRPr="00CE5475">
          <w:rPr>
            <w:rFonts w:ascii="Times New Roman" w:eastAsia="Times New Roman" w:hAnsi="Times New Roman" w:cs="Times New Roman"/>
            <w:i/>
            <w:color w:val="000000"/>
            <w:kern w:val="0"/>
            <w:sz w:val="24"/>
            <w:szCs w:val="24"/>
            <w:u w:val="single"/>
            <w:lang w:eastAsia="ru-RU"/>
            <w14:ligatures w14:val="none"/>
          </w:rPr>
          <w:t>1067013063@qq.com</w:t>
        </w:r>
      </w:hyperlink>
    </w:p>
    <w:p w14:paraId="1AA98870" w14:textId="3AF0DEFE" w:rsidR="00593620" w:rsidRPr="00D23C8B" w:rsidRDefault="00E7170E" w:rsidP="00D23C8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170E">
        <w:rPr>
          <w:rFonts w:ascii="Times New Roman" w:eastAsia="DengXian" w:hAnsi="Times New Roman" w:cs="Times New Roman"/>
          <w:sz w:val="24"/>
          <w:szCs w:val="24"/>
        </w:rPr>
        <w:t>Гексаферриты</w:t>
      </w:r>
      <w:proofErr w:type="spellEnd"/>
      <w:r w:rsidRPr="00E7170E">
        <w:rPr>
          <w:rFonts w:ascii="Times New Roman" w:eastAsia="DengXian" w:hAnsi="Times New Roman" w:cs="Times New Roman"/>
          <w:sz w:val="24"/>
          <w:szCs w:val="24"/>
        </w:rPr>
        <w:t xml:space="preserve"> M-типа </w:t>
      </w:r>
      <w:r w:rsidR="006334B1" w:rsidRPr="005D581D">
        <w:rPr>
          <w:rFonts w:ascii="Times New Roman" w:eastAsia="DengXian" w:hAnsi="Times New Roman" w:cs="Times New Roman"/>
          <w:i/>
          <w:iCs/>
          <w:sz w:val="24"/>
          <w:szCs w:val="24"/>
          <w:lang w:val="en-US"/>
        </w:rPr>
        <w:t>A</w:t>
      </w:r>
      <w:r w:rsidRPr="00E7170E">
        <w:rPr>
          <w:rFonts w:ascii="Times New Roman" w:eastAsia="DengXian" w:hAnsi="Times New Roman" w:cs="Times New Roman"/>
          <w:sz w:val="24"/>
          <w:szCs w:val="24"/>
        </w:rPr>
        <w:t>Fe</w:t>
      </w:r>
      <w:r w:rsidRPr="00E7170E">
        <w:rPr>
          <w:rFonts w:ascii="Times New Roman" w:eastAsia="DengXian" w:hAnsi="Times New Roman" w:cs="Times New Roman" w:hint="eastAsia"/>
          <w:sz w:val="24"/>
          <w:szCs w:val="24"/>
          <w:vertAlign w:val="subscript"/>
          <w:lang w:eastAsia="zh-CN"/>
        </w:rPr>
        <w:t>12</w:t>
      </w:r>
      <w:r w:rsidRPr="00E7170E">
        <w:rPr>
          <w:rFonts w:ascii="Times New Roman" w:eastAsia="DengXian" w:hAnsi="Times New Roman" w:cs="Times New Roman"/>
          <w:sz w:val="24"/>
          <w:szCs w:val="24"/>
        </w:rPr>
        <w:t>O</w:t>
      </w:r>
      <w:r w:rsidRPr="00E7170E">
        <w:rPr>
          <w:rFonts w:ascii="Times New Roman" w:eastAsia="DengXian" w:hAnsi="Times New Roman" w:cs="Times New Roman" w:hint="eastAsia"/>
          <w:sz w:val="24"/>
          <w:szCs w:val="24"/>
          <w:vertAlign w:val="subscript"/>
          <w:lang w:eastAsia="zh-CN"/>
        </w:rPr>
        <w:t>19</w:t>
      </w:r>
      <w:r w:rsidRPr="00E7170E">
        <w:rPr>
          <w:rFonts w:ascii="Times New Roman" w:eastAsia="DengXian" w:hAnsi="Times New Roman" w:cs="Times New Roman"/>
          <w:sz w:val="24"/>
          <w:szCs w:val="24"/>
        </w:rPr>
        <w:t xml:space="preserve"> (</w:t>
      </w:r>
      <w:r w:rsidR="006334B1" w:rsidRPr="005D581D">
        <w:rPr>
          <w:rFonts w:ascii="Times New Roman" w:eastAsia="DengXian" w:hAnsi="Times New Roman" w:cs="Times New Roman"/>
          <w:i/>
          <w:iCs/>
          <w:sz w:val="24"/>
          <w:szCs w:val="24"/>
          <w:lang w:val="en-US"/>
        </w:rPr>
        <w:t>A</w:t>
      </w:r>
      <w:r w:rsidRPr="00E7170E">
        <w:rPr>
          <w:rFonts w:ascii="Times New Roman" w:eastAsia="DengXian" w:hAnsi="Times New Roman" w:cs="Times New Roman"/>
          <w:sz w:val="24"/>
          <w:szCs w:val="24"/>
        </w:rPr>
        <w:t xml:space="preserve"> = </w:t>
      </w:r>
      <w:proofErr w:type="spellStart"/>
      <w:r w:rsidRPr="00E7170E">
        <w:rPr>
          <w:rFonts w:ascii="Times New Roman" w:eastAsia="DengXian" w:hAnsi="Times New Roman" w:cs="Times New Roman"/>
          <w:sz w:val="24"/>
          <w:szCs w:val="24"/>
        </w:rPr>
        <w:t>Ba</w:t>
      </w:r>
      <w:proofErr w:type="spellEnd"/>
      <w:r w:rsidRPr="00E7170E">
        <w:rPr>
          <w:rFonts w:ascii="Times New Roman" w:eastAsia="DengXian" w:hAnsi="Times New Roman" w:cs="Times New Roman"/>
          <w:sz w:val="24"/>
          <w:szCs w:val="24"/>
        </w:rPr>
        <w:t xml:space="preserve">, </w:t>
      </w:r>
      <w:proofErr w:type="spellStart"/>
      <w:r w:rsidRPr="00E7170E">
        <w:rPr>
          <w:rFonts w:ascii="Times New Roman" w:eastAsia="DengXian" w:hAnsi="Times New Roman" w:cs="Times New Roman"/>
          <w:sz w:val="24"/>
          <w:szCs w:val="24"/>
        </w:rPr>
        <w:t>Sr</w:t>
      </w:r>
      <w:proofErr w:type="spellEnd"/>
      <w:r w:rsidRPr="00E7170E">
        <w:rPr>
          <w:rFonts w:ascii="Times New Roman" w:eastAsia="DengXian" w:hAnsi="Times New Roman" w:cs="Times New Roman"/>
          <w:sz w:val="24"/>
          <w:szCs w:val="24"/>
        </w:rPr>
        <w:t xml:space="preserve">, Pb) являются важными промышленными материалами, широко </w:t>
      </w:r>
      <w:r w:rsidR="00BD46B8">
        <w:rPr>
          <w:rFonts w:ascii="Times New Roman" w:eastAsia="DengXian" w:hAnsi="Times New Roman" w:cs="Times New Roman"/>
          <w:sz w:val="24"/>
          <w:szCs w:val="24"/>
        </w:rPr>
        <w:t>применяемыми</w:t>
      </w:r>
      <w:r w:rsidRPr="00E7170E">
        <w:rPr>
          <w:rFonts w:ascii="Times New Roman" w:eastAsia="DengXian" w:hAnsi="Times New Roman" w:cs="Times New Roman"/>
          <w:sz w:val="24"/>
          <w:szCs w:val="24"/>
        </w:rPr>
        <w:t xml:space="preserve"> в производстве постоянных магнитов и высокочастотных электромагнитных </w:t>
      </w:r>
      <w:r w:rsidR="008A0DE8">
        <w:rPr>
          <w:rFonts w:ascii="Times New Roman" w:eastAsia="DengXian" w:hAnsi="Times New Roman" w:cs="Times New Roman"/>
          <w:sz w:val="24"/>
          <w:szCs w:val="24"/>
        </w:rPr>
        <w:t>устройств</w:t>
      </w:r>
      <w:r w:rsidRPr="00E7170E">
        <w:rPr>
          <w:rFonts w:ascii="Times New Roman" w:eastAsia="DengXian" w:hAnsi="Times New Roman" w:cs="Times New Roman"/>
          <w:sz w:val="24"/>
          <w:szCs w:val="24"/>
        </w:rPr>
        <w:t xml:space="preserve">. Известно, что замещение алюминием, хромом и марганцем улучшает коэрцитивную силу материала и частоту естественного ферромагнитного резонанса. Однако современные применения требуют разработки структурированных анизотропных материалов, состоящих из ориентированных магнитных частиц. Обычные методы синтеза, </w:t>
      </w:r>
      <w:r w:rsidR="008A0DE8">
        <w:rPr>
          <w:rFonts w:ascii="Times New Roman" w:eastAsia="DengXian" w:hAnsi="Times New Roman" w:cs="Times New Roman"/>
          <w:sz w:val="24"/>
          <w:szCs w:val="24"/>
        </w:rPr>
        <w:t xml:space="preserve">предполагающие </w:t>
      </w:r>
      <w:r w:rsidRPr="00E7170E">
        <w:rPr>
          <w:rFonts w:ascii="Times New Roman" w:eastAsia="DengXian" w:hAnsi="Times New Roman" w:cs="Times New Roman"/>
          <w:sz w:val="24"/>
          <w:szCs w:val="24"/>
        </w:rPr>
        <w:t>высокотемпературн</w:t>
      </w:r>
      <w:r w:rsidR="005A6677">
        <w:rPr>
          <w:rFonts w:ascii="Times New Roman" w:eastAsia="DengXian" w:hAnsi="Times New Roman" w:cs="Times New Roman"/>
          <w:sz w:val="24"/>
          <w:szCs w:val="24"/>
        </w:rPr>
        <w:t>ую</w:t>
      </w:r>
      <w:r w:rsidRPr="00E7170E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="005A6677">
        <w:rPr>
          <w:rFonts w:ascii="Times New Roman" w:eastAsia="DengXian" w:hAnsi="Times New Roman" w:cs="Times New Roman"/>
          <w:sz w:val="24"/>
          <w:szCs w:val="24"/>
        </w:rPr>
        <w:t>обработку</w:t>
      </w:r>
      <w:r w:rsidRPr="00E7170E">
        <w:rPr>
          <w:rFonts w:ascii="Times New Roman" w:eastAsia="DengXian" w:hAnsi="Times New Roman" w:cs="Times New Roman"/>
          <w:sz w:val="24"/>
          <w:szCs w:val="24"/>
        </w:rPr>
        <w:t xml:space="preserve">, непригодны для этой цели. Метод кристаллизации стекла, напротив, исключает спекание и позволяет получать изолированные частицы гексаферрита, которые могут быть выделены в виде стабильных коллоидов или </w:t>
      </w:r>
      <w:proofErr w:type="spellStart"/>
      <w:r w:rsidRPr="00E7170E">
        <w:rPr>
          <w:rFonts w:ascii="Times New Roman" w:eastAsia="DengXian" w:hAnsi="Times New Roman" w:cs="Times New Roman"/>
          <w:sz w:val="24"/>
          <w:szCs w:val="24"/>
        </w:rPr>
        <w:t>неагрегированных</w:t>
      </w:r>
      <w:proofErr w:type="spellEnd"/>
      <w:r w:rsidRPr="00E7170E">
        <w:rPr>
          <w:rFonts w:ascii="Times New Roman" w:eastAsia="DengXian" w:hAnsi="Times New Roman" w:cs="Times New Roman"/>
          <w:sz w:val="24"/>
          <w:szCs w:val="24"/>
        </w:rPr>
        <w:t xml:space="preserve"> порошков.</w:t>
      </w:r>
    </w:p>
    <w:p w14:paraId="651C93E8" w14:textId="2172D4E4" w:rsidR="00DF74CC" w:rsidRPr="00D23C8B" w:rsidRDefault="00E7170E" w:rsidP="00D23C8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7170E">
        <w:rPr>
          <w:rFonts w:ascii="Times New Roman" w:eastAsia="DengXian" w:hAnsi="Times New Roman" w:cs="Times New Roman"/>
          <w:sz w:val="24"/>
          <w:szCs w:val="24"/>
        </w:rPr>
        <w:t xml:space="preserve">В данной работе исследуется кристаллизация </w:t>
      </w:r>
      <w:proofErr w:type="spellStart"/>
      <w:r w:rsidRPr="00E7170E">
        <w:rPr>
          <w:rFonts w:ascii="Times New Roman" w:eastAsia="DengXian" w:hAnsi="Times New Roman" w:cs="Times New Roman"/>
          <w:sz w:val="24"/>
          <w:szCs w:val="24"/>
        </w:rPr>
        <w:t>нано</w:t>
      </w:r>
      <w:proofErr w:type="spellEnd"/>
      <w:r w:rsidRPr="00E7170E">
        <w:rPr>
          <w:rFonts w:ascii="Times New Roman" w:eastAsia="DengXian" w:hAnsi="Times New Roman" w:cs="Times New Roman"/>
          <w:sz w:val="24"/>
          <w:szCs w:val="24"/>
        </w:rPr>
        <w:t xml:space="preserve">- и </w:t>
      </w:r>
      <w:proofErr w:type="spellStart"/>
      <w:r w:rsidRPr="00E7170E">
        <w:rPr>
          <w:rFonts w:ascii="Times New Roman" w:eastAsia="DengXian" w:hAnsi="Times New Roman" w:cs="Times New Roman"/>
          <w:sz w:val="24"/>
          <w:szCs w:val="24"/>
        </w:rPr>
        <w:t>субмикрочастиц</w:t>
      </w:r>
      <w:proofErr w:type="spellEnd"/>
      <w:r w:rsidRPr="00E7170E">
        <w:rPr>
          <w:rFonts w:ascii="Times New Roman" w:eastAsia="DengXian" w:hAnsi="Times New Roman" w:cs="Times New Roman"/>
          <w:sz w:val="24"/>
          <w:szCs w:val="24"/>
        </w:rPr>
        <w:t xml:space="preserve"> </w:t>
      </w:r>
      <w:proofErr w:type="spellStart"/>
      <w:r w:rsidRPr="00E7170E">
        <w:rPr>
          <w:rFonts w:ascii="Times New Roman" w:eastAsia="DengXian" w:hAnsi="Times New Roman" w:cs="Times New Roman"/>
          <w:sz w:val="24"/>
          <w:szCs w:val="24"/>
        </w:rPr>
        <w:t>гексаферрита</w:t>
      </w:r>
      <w:proofErr w:type="spellEnd"/>
      <w:r w:rsidRPr="00E7170E">
        <w:rPr>
          <w:rFonts w:ascii="Times New Roman" w:eastAsia="DengXian" w:hAnsi="Times New Roman" w:cs="Times New Roman"/>
          <w:sz w:val="24"/>
          <w:szCs w:val="24"/>
        </w:rPr>
        <w:t xml:space="preserve"> стронция в стеклах </w:t>
      </w:r>
      <w:proofErr w:type="spellStart"/>
      <w:r w:rsidR="005A6677">
        <w:rPr>
          <w:rFonts w:ascii="Times New Roman" w:eastAsia="DengXian" w:hAnsi="Times New Roman" w:cs="Times New Roman"/>
          <w:sz w:val="24"/>
          <w:szCs w:val="24"/>
          <w:lang w:val="en-US"/>
        </w:rPr>
        <w:t>SrFe</w:t>
      </w:r>
      <w:proofErr w:type="spellEnd"/>
      <w:r w:rsidR="005A6677" w:rsidRPr="005A6677">
        <w:rPr>
          <w:rFonts w:ascii="Times New Roman" w:eastAsia="DengXian" w:hAnsi="Times New Roman" w:cs="Times New Roman"/>
          <w:sz w:val="24"/>
          <w:szCs w:val="24"/>
          <w:vertAlign w:val="subscript"/>
        </w:rPr>
        <w:t>12</w:t>
      </w:r>
      <w:r w:rsidR="005A6677">
        <w:rPr>
          <w:rFonts w:ascii="Times New Roman" w:eastAsia="DengXian" w:hAnsi="Times New Roman" w:cs="Times New Roman"/>
          <w:sz w:val="24"/>
          <w:szCs w:val="24"/>
          <w:lang w:val="en-US"/>
        </w:rPr>
        <w:t>O</w:t>
      </w:r>
      <w:r w:rsidR="005A6677" w:rsidRPr="005A6677">
        <w:rPr>
          <w:rFonts w:ascii="Times New Roman" w:eastAsia="DengXian" w:hAnsi="Times New Roman" w:cs="Times New Roman"/>
          <w:sz w:val="24"/>
          <w:szCs w:val="24"/>
          <w:vertAlign w:val="subscript"/>
        </w:rPr>
        <w:t>19</w:t>
      </w:r>
      <w:r w:rsidR="005A6677">
        <w:rPr>
          <w:rFonts w:ascii="Times New Roman" w:eastAsia="DengXian" w:hAnsi="Times New Roman" w:cs="Times New Roman"/>
          <w:sz w:val="24"/>
          <w:szCs w:val="24"/>
        </w:rPr>
        <w:t>-12</w:t>
      </w:r>
      <w:proofErr w:type="spellStart"/>
      <w:r w:rsidR="005A6677">
        <w:rPr>
          <w:rFonts w:ascii="Times New Roman" w:eastAsia="DengXian" w:hAnsi="Times New Roman" w:cs="Times New Roman"/>
          <w:sz w:val="24"/>
          <w:szCs w:val="24"/>
          <w:lang w:val="en-US"/>
        </w:rPr>
        <w:t>SrB</w:t>
      </w:r>
      <w:proofErr w:type="spellEnd"/>
      <w:r w:rsidR="005A6677" w:rsidRPr="005A6677">
        <w:rPr>
          <w:rFonts w:ascii="Times New Roman" w:eastAsia="DengXian" w:hAnsi="Times New Roman" w:cs="Times New Roman"/>
          <w:sz w:val="24"/>
          <w:szCs w:val="24"/>
          <w:vertAlign w:val="subscript"/>
        </w:rPr>
        <w:t>2</w:t>
      </w:r>
      <w:r w:rsidR="005A6677">
        <w:rPr>
          <w:rFonts w:ascii="Times New Roman" w:eastAsia="DengXian" w:hAnsi="Times New Roman" w:cs="Times New Roman"/>
          <w:sz w:val="24"/>
          <w:szCs w:val="24"/>
          <w:lang w:val="en-US"/>
        </w:rPr>
        <w:t>O</w:t>
      </w:r>
      <w:r w:rsidR="005A6677" w:rsidRPr="005A6677">
        <w:rPr>
          <w:rFonts w:ascii="Times New Roman" w:eastAsia="DengXian" w:hAnsi="Times New Roman" w:cs="Times New Roman"/>
          <w:sz w:val="24"/>
          <w:szCs w:val="24"/>
          <w:vertAlign w:val="subscript"/>
        </w:rPr>
        <w:t>4</w:t>
      </w:r>
      <w:r w:rsidR="005A6677" w:rsidRPr="005A6677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="005A6677">
        <w:rPr>
          <w:rFonts w:ascii="Times New Roman" w:eastAsia="DengXian" w:hAnsi="Times New Roman" w:cs="Times New Roman"/>
          <w:sz w:val="24"/>
          <w:szCs w:val="24"/>
        </w:rPr>
        <w:t>и</w:t>
      </w:r>
      <w:r w:rsidRPr="00E7170E">
        <w:rPr>
          <w:rFonts w:ascii="Times New Roman" w:eastAsia="DengXian" w:hAnsi="Times New Roman" w:cs="Times New Roman"/>
          <w:sz w:val="24"/>
          <w:szCs w:val="24"/>
        </w:rPr>
        <w:t xml:space="preserve"> SrFe</w:t>
      </w:r>
      <w:r w:rsidRPr="00E7170E">
        <w:rPr>
          <w:rFonts w:ascii="Times New Roman" w:eastAsia="DengXian" w:hAnsi="Times New Roman" w:cs="Times New Roman" w:hint="eastAsia"/>
          <w:sz w:val="24"/>
          <w:szCs w:val="24"/>
          <w:vertAlign w:val="subscript"/>
          <w:lang w:eastAsia="zh-CN"/>
        </w:rPr>
        <w:t>12-</w:t>
      </w:r>
      <w:r w:rsidRPr="006334B1">
        <w:rPr>
          <w:rFonts w:ascii="Times New Roman" w:eastAsia="DengXian" w:hAnsi="Times New Roman" w:cs="Times New Roman" w:hint="eastAsia"/>
          <w:i/>
          <w:iCs/>
          <w:sz w:val="24"/>
          <w:szCs w:val="24"/>
          <w:vertAlign w:val="subscript"/>
          <w:lang w:eastAsia="zh-CN"/>
        </w:rPr>
        <w:t>x</w:t>
      </w:r>
      <w:r w:rsidRPr="00E7170E">
        <w:rPr>
          <w:rFonts w:ascii="Times New Roman" w:eastAsia="DengXian" w:hAnsi="Times New Roman" w:cs="Times New Roman"/>
          <w:sz w:val="24"/>
          <w:szCs w:val="24"/>
        </w:rPr>
        <w:t>M</w:t>
      </w:r>
      <w:r w:rsidRPr="006334B1">
        <w:rPr>
          <w:rFonts w:ascii="Times New Roman" w:eastAsia="DengXian" w:hAnsi="Times New Roman" w:cs="Times New Roman" w:hint="eastAsia"/>
          <w:i/>
          <w:iCs/>
          <w:sz w:val="24"/>
          <w:szCs w:val="24"/>
          <w:vertAlign w:val="subscript"/>
          <w:lang w:eastAsia="zh-CN"/>
        </w:rPr>
        <w:t>x</w:t>
      </w:r>
      <w:r w:rsidRPr="00E7170E">
        <w:rPr>
          <w:rFonts w:ascii="Times New Roman" w:eastAsia="DengXian" w:hAnsi="Times New Roman" w:cs="Times New Roman"/>
          <w:sz w:val="24"/>
          <w:szCs w:val="24"/>
        </w:rPr>
        <w:t>O</w:t>
      </w:r>
      <w:r w:rsidRPr="00E7170E">
        <w:rPr>
          <w:rFonts w:ascii="Times New Roman" w:eastAsia="DengXian" w:hAnsi="Times New Roman" w:cs="Times New Roman" w:hint="eastAsia"/>
          <w:sz w:val="24"/>
          <w:szCs w:val="24"/>
          <w:vertAlign w:val="subscript"/>
          <w:lang w:eastAsia="zh-CN"/>
        </w:rPr>
        <w:t>19</w:t>
      </w:r>
      <w:r w:rsidRPr="005A6677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-</w:t>
      </w:r>
      <w:r w:rsidRPr="006334B1">
        <w:rPr>
          <w:rFonts w:ascii="Times New Roman" w:eastAsia="DengXian" w:hAnsi="Times New Roman" w:cs="Times New Roman" w:hint="eastAsia"/>
          <w:i/>
          <w:iCs/>
          <w:sz w:val="24"/>
          <w:szCs w:val="24"/>
          <w:lang w:eastAsia="zh-CN"/>
        </w:rPr>
        <w:t>n</w:t>
      </w:r>
      <w:r w:rsidRPr="00E7170E">
        <w:rPr>
          <w:rFonts w:ascii="Times New Roman" w:eastAsia="DengXian" w:hAnsi="Times New Roman" w:cs="Times New Roman"/>
          <w:sz w:val="24"/>
          <w:szCs w:val="24"/>
        </w:rPr>
        <w:t>Sr</w:t>
      </w:r>
      <w:r w:rsidRPr="00E7170E">
        <w:rPr>
          <w:rFonts w:ascii="Times New Roman" w:eastAsia="DengXian" w:hAnsi="Times New Roman" w:cs="Times New Roman" w:hint="eastAsia"/>
          <w:sz w:val="24"/>
          <w:szCs w:val="24"/>
          <w:vertAlign w:val="subscript"/>
          <w:lang w:eastAsia="zh-CN"/>
        </w:rPr>
        <w:t>2</w:t>
      </w:r>
      <w:r w:rsidRPr="00E7170E">
        <w:rPr>
          <w:rFonts w:ascii="Times New Roman" w:eastAsia="DengXian" w:hAnsi="Times New Roman" w:cs="Times New Roman"/>
          <w:sz w:val="24"/>
          <w:szCs w:val="24"/>
        </w:rPr>
        <w:t>B</w:t>
      </w:r>
      <w:r w:rsidRPr="00E7170E">
        <w:rPr>
          <w:rFonts w:ascii="Times New Roman" w:eastAsia="DengXian" w:hAnsi="Times New Roman" w:cs="Times New Roman" w:hint="eastAsia"/>
          <w:sz w:val="24"/>
          <w:szCs w:val="24"/>
          <w:vertAlign w:val="subscript"/>
          <w:lang w:eastAsia="zh-CN"/>
        </w:rPr>
        <w:t>2</w:t>
      </w:r>
      <w:r w:rsidRPr="00E7170E">
        <w:rPr>
          <w:rFonts w:ascii="Times New Roman" w:eastAsia="DengXian" w:hAnsi="Times New Roman" w:cs="Times New Roman"/>
          <w:sz w:val="24"/>
          <w:szCs w:val="24"/>
        </w:rPr>
        <w:t>O</w:t>
      </w:r>
      <w:r w:rsidRPr="00E7170E">
        <w:rPr>
          <w:rFonts w:ascii="Times New Roman" w:eastAsia="DengXian" w:hAnsi="Times New Roman" w:cs="Times New Roman" w:hint="eastAsia"/>
          <w:sz w:val="24"/>
          <w:szCs w:val="24"/>
          <w:vertAlign w:val="subscript"/>
          <w:lang w:eastAsia="zh-CN"/>
        </w:rPr>
        <w:t>5</w:t>
      </w:r>
      <w:r w:rsidRPr="00E7170E">
        <w:rPr>
          <w:rFonts w:ascii="Times New Roman" w:eastAsia="DengXian" w:hAnsi="Times New Roman" w:cs="Times New Roman"/>
          <w:sz w:val="24"/>
          <w:szCs w:val="24"/>
        </w:rPr>
        <w:t xml:space="preserve"> (где M = Al, </w:t>
      </w:r>
      <w:proofErr w:type="spellStart"/>
      <w:r w:rsidRPr="00E7170E">
        <w:rPr>
          <w:rFonts w:ascii="Times New Roman" w:eastAsia="DengXian" w:hAnsi="Times New Roman" w:cs="Times New Roman"/>
          <w:sz w:val="24"/>
          <w:szCs w:val="24"/>
        </w:rPr>
        <w:t>Cr</w:t>
      </w:r>
      <w:proofErr w:type="spellEnd"/>
      <w:r w:rsidRPr="00E7170E">
        <w:rPr>
          <w:rFonts w:ascii="Times New Roman" w:eastAsia="DengXian" w:hAnsi="Times New Roman" w:cs="Times New Roman"/>
          <w:sz w:val="24"/>
          <w:szCs w:val="24"/>
        </w:rPr>
        <w:t xml:space="preserve">, </w:t>
      </w:r>
      <w:proofErr w:type="spellStart"/>
      <w:r w:rsidRPr="00E7170E">
        <w:rPr>
          <w:rFonts w:ascii="Times New Roman" w:eastAsia="DengXian" w:hAnsi="Times New Roman" w:cs="Times New Roman"/>
          <w:sz w:val="24"/>
          <w:szCs w:val="24"/>
        </w:rPr>
        <w:t>Mn</w:t>
      </w:r>
      <w:proofErr w:type="spellEnd"/>
      <w:r w:rsidRPr="00E7170E">
        <w:rPr>
          <w:rFonts w:ascii="Times New Roman" w:eastAsia="DengXian" w:hAnsi="Times New Roman" w:cs="Times New Roman"/>
          <w:sz w:val="24"/>
          <w:szCs w:val="24"/>
        </w:rPr>
        <w:t xml:space="preserve">; </w:t>
      </w:r>
      <w:r w:rsidRPr="006334B1">
        <w:rPr>
          <w:rFonts w:ascii="Times New Roman" w:eastAsia="DengXian" w:hAnsi="Times New Roman" w:cs="Times New Roman"/>
          <w:i/>
          <w:iCs/>
          <w:sz w:val="24"/>
          <w:szCs w:val="24"/>
        </w:rPr>
        <w:t>x</w:t>
      </w:r>
      <w:r w:rsidRPr="00E7170E">
        <w:rPr>
          <w:rFonts w:ascii="Times New Roman" w:eastAsia="DengXian" w:hAnsi="Times New Roman" w:cs="Times New Roman"/>
          <w:sz w:val="24"/>
          <w:szCs w:val="24"/>
        </w:rPr>
        <w:t xml:space="preserve"> = 0–8; </w:t>
      </w:r>
      <w:r w:rsidRPr="006334B1">
        <w:rPr>
          <w:rFonts w:ascii="Times New Roman" w:eastAsia="DengXian" w:hAnsi="Times New Roman" w:cs="Times New Roman"/>
          <w:i/>
          <w:iCs/>
          <w:sz w:val="24"/>
          <w:szCs w:val="24"/>
        </w:rPr>
        <w:t>n</w:t>
      </w:r>
      <w:r w:rsidRPr="00E7170E">
        <w:rPr>
          <w:rFonts w:ascii="Times New Roman" w:eastAsia="DengXian" w:hAnsi="Times New Roman" w:cs="Times New Roman"/>
          <w:sz w:val="24"/>
          <w:szCs w:val="24"/>
        </w:rPr>
        <w:t xml:space="preserve"> = 4–12)</w:t>
      </w:r>
      <w:r w:rsidR="00285806">
        <w:rPr>
          <w:rFonts w:ascii="Times New Roman" w:eastAsia="DengXian" w:hAnsi="Times New Roman" w:cs="Times New Roman"/>
          <w:sz w:val="24"/>
          <w:szCs w:val="24"/>
        </w:rPr>
        <w:t>.</w:t>
      </w:r>
      <w:r w:rsidRPr="00E7170E">
        <w:rPr>
          <w:rFonts w:ascii="Times New Roman" w:eastAsia="DengXian" w:hAnsi="Times New Roman" w:cs="Times New Roman"/>
          <w:sz w:val="24"/>
          <w:szCs w:val="24"/>
        </w:rPr>
        <w:t xml:space="preserve"> Аморфные образцы были получены методом быстрой закалки расплава между вращающимися стальными валками. Последующая термическая обработка при 700–950 °C привела к кристаллиз</w:t>
      </w:r>
      <w:r w:rsidR="00285806">
        <w:rPr>
          <w:rFonts w:ascii="Times New Roman" w:eastAsia="DengXian" w:hAnsi="Times New Roman" w:cs="Times New Roman"/>
          <w:sz w:val="24"/>
          <w:szCs w:val="24"/>
        </w:rPr>
        <w:t>ации</w:t>
      </w:r>
      <w:r w:rsidRPr="00E7170E">
        <w:rPr>
          <w:rFonts w:ascii="Times New Roman" w:eastAsia="DengXian" w:hAnsi="Times New Roman" w:cs="Times New Roman"/>
          <w:sz w:val="24"/>
          <w:szCs w:val="24"/>
        </w:rPr>
        <w:t xml:space="preserve"> частиц гексаферрита. Затем </w:t>
      </w:r>
      <w:r w:rsidR="006334B1">
        <w:rPr>
          <w:rFonts w:ascii="Times New Roman" w:eastAsia="DengXian" w:hAnsi="Times New Roman" w:cs="Times New Roman"/>
          <w:sz w:val="24"/>
          <w:szCs w:val="24"/>
        </w:rPr>
        <w:t xml:space="preserve">боратная </w:t>
      </w:r>
      <w:r w:rsidRPr="00E7170E">
        <w:rPr>
          <w:rFonts w:ascii="Times New Roman" w:eastAsia="DengXian" w:hAnsi="Times New Roman" w:cs="Times New Roman"/>
          <w:sz w:val="24"/>
          <w:szCs w:val="24"/>
        </w:rPr>
        <w:t>матрица</w:t>
      </w:r>
      <w:r w:rsidR="006334B1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Pr="00E7170E">
        <w:rPr>
          <w:rFonts w:ascii="Times New Roman" w:eastAsia="DengXian" w:hAnsi="Times New Roman" w:cs="Times New Roman"/>
          <w:sz w:val="24"/>
          <w:szCs w:val="24"/>
        </w:rPr>
        <w:t>была растворена, что позволило выделить магнитные частицы. При 700–800</w:t>
      </w:r>
      <w:r w:rsidR="006334B1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Pr="00E7170E">
        <w:rPr>
          <w:rFonts w:ascii="Times New Roman" w:eastAsia="DengXian" w:hAnsi="Times New Roman" w:cs="Times New Roman"/>
          <w:sz w:val="24"/>
          <w:szCs w:val="24"/>
        </w:rPr>
        <w:t>°C полученные частицы представляли собой тонкие пластинки диаметром не более 100 нм и образовывали стабильные коллоиды после экстракции. Выше 850 °C формировались частицы размером 100–400 нм, которые не спекались между собой и могли быть индивидуально ориентированы магнитным полем.</w:t>
      </w:r>
    </w:p>
    <w:p w14:paraId="4DD6407B" w14:textId="2AAEF814" w:rsidR="0064029A" w:rsidRPr="00D23C8B" w:rsidRDefault="00E7170E" w:rsidP="00D23C8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7170E">
        <w:rPr>
          <w:rFonts w:ascii="Times New Roman" w:eastAsia="DengXian" w:hAnsi="Times New Roman" w:cs="Times New Roman"/>
          <w:sz w:val="24"/>
          <w:szCs w:val="24"/>
        </w:rPr>
        <w:t xml:space="preserve">Присутствие алюминия, хрома и марганца в стекле приводит к соответствующим замещениям в структуре гексаферрита. Степень замещения </w:t>
      </w:r>
      <w:r w:rsidRPr="00D24AFF">
        <w:rPr>
          <w:rFonts w:ascii="Times New Roman" w:eastAsia="DengXian" w:hAnsi="Times New Roman" w:cs="Times New Roman"/>
          <w:i/>
          <w:iCs/>
          <w:sz w:val="24"/>
          <w:szCs w:val="24"/>
        </w:rPr>
        <w:t>x</w:t>
      </w:r>
      <w:r w:rsidRPr="00E7170E">
        <w:rPr>
          <w:rFonts w:ascii="Times New Roman" w:eastAsia="DengXian" w:hAnsi="Times New Roman" w:cs="Times New Roman"/>
          <w:sz w:val="24"/>
          <w:szCs w:val="24"/>
        </w:rPr>
        <w:t xml:space="preserve"> в SrFe</w:t>
      </w:r>
      <w:r w:rsidRPr="00E7170E">
        <w:rPr>
          <w:rFonts w:ascii="Times New Roman" w:eastAsia="DengXian" w:hAnsi="Times New Roman" w:cs="Times New Roman" w:hint="eastAsia"/>
          <w:sz w:val="24"/>
          <w:szCs w:val="24"/>
          <w:vertAlign w:val="subscript"/>
          <w:lang w:eastAsia="zh-CN"/>
        </w:rPr>
        <w:t>12-x</w:t>
      </w:r>
      <w:r w:rsidRPr="00E7170E">
        <w:rPr>
          <w:rFonts w:ascii="Times New Roman" w:eastAsia="DengXian" w:hAnsi="Times New Roman" w:cs="Times New Roman"/>
          <w:sz w:val="24"/>
          <w:szCs w:val="24"/>
        </w:rPr>
        <w:t>M</w:t>
      </w:r>
      <w:r w:rsidRPr="00E7170E">
        <w:rPr>
          <w:rFonts w:ascii="Times New Roman" w:eastAsia="DengXian" w:hAnsi="Times New Roman" w:cs="Times New Roman" w:hint="eastAsia"/>
          <w:sz w:val="24"/>
          <w:szCs w:val="24"/>
          <w:vertAlign w:val="subscript"/>
          <w:lang w:eastAsia="zh-CN"/>
        </w:rPr>
        <w:t>x</w:t>
      </w:r>
      <w:r w:rsidRPr="00E7170E">
        <w:rPr>
          <w:rFonts w:ascii="Times New Roman" w:eastAsia="DengXian" w:hAnsi="Times New Roman" w:cs="Times New Roman"/>
          <w:sz w:val="24"/>
          <w:szCs w:val="24"/>
        </w:rPr>
        <w:t>O</w:t>
      </w:r>
      <w:r w:rsidRPr="00E7170E">
        <w:rPr>
          <w:rFonts w:ascii="Times New Roman" w:eastAsia="DengXian" w:hAnsi="Times New Roman" w:cs="Times New Roman" w:hint="eastAsia"/>
          <w:sz w:val="24"/>
          <w:szCs w:val="24"/>
          <w:vertAlign w:val="subscript"/>
          <w:lang w:eastAsia="zh-CN"/>
        </w:rPr>
        <w:t>19</w:t>
      </w:r>
      <w:r w:rsidRPr="00E7170E">
        <w:rPr>
          <w:rFonts w:ascii="Times New Roman" w:eastAsia="DengXian" w:hAnsi="Times New Roman" w:cs="Times New Roman"/>
          <w:sz w:val="24"/>
          <w:szCs w:val="24"/>
        </w:rPr>
        <w:t xml:space="preserve"> увеличивается с повышением температуры синтеза и, соответственно, с увеличением размера частиц, и оба эти фактора приводят к повышению коэрцитивной силы и частоты ФМР. Так, для коллоидных частиц незамещенного гексаферрита (диаметр 20–100 нм) коэрцитивная сила возрастает от 1000 до 4000 Э. Замещение алюминием, марганцем и хромом позволяет увеличить коэрцитивную силу до 5600, 9000 и 13000 Э соответственно. Коэрцитивная сила </w:t>
      </w:r>
      <w:proofErr w:type="spellStart"/>
      <w:r w:rsidRPr="00E7170E">
        <w:rPr>
          <w:rFonts w:ascii="Times New Roman" w:eastAsia="DengXian" w:hAnsi="Times New Roman" w:cs="Times New Roman"/>
          <w:sz w:val="24"/>
          <w:szCs w:val="24"/>
        </w:rPr>
        <w:t>неспеченных</w:t>
      </w:r>
      <w:proofErr w:type="spellEnd"/>
      <w:r w:rsidRPr="00E7170E">
        <w:rPr>
          <w:rFonts w:ascii="Times New Roman" w:eastAsia="DengXian" w:hAnsi="Times New Roman" w:cs="Times New Roman"/>
          <w:sz w:val="24"/>
          <w:szCs w:val="24"/>
        </w:rPr>
        <w:t xml:space="preserve"> субмикронных частиц (диаметр 100–400 нм) замещенных </w:t>
      </w:r>
      <w:proofErr w:type="spellStart"/>
      <w:r w:rsidRPr="00E7170E">
        <w:rPr>
          <w:rFonts w:ascii="Times New Roman" w:eastAsia="DengXian" w:hAnsi="Times New Roman" w:cs="Times New Roman"/>
          <w:sz w:val="24"/>
          <w:szCs w:val="24"/>
        </w:rPr>
        <w:t>гексаферритов</w:t>
      </w:r>
      <w:proofErr w:type="spellEnd"/>
      <w:r w:rsidRPr="00E7170E">
        <w:rPr>
          <w:rFonts w:ascii="Times New Roman" w:eastAsia="DengXian" w:hAnsi="Times New Roman" w:cs="Times New Roman"/>
          <w:sz w:val="24"/>
          <w:szCs w:val="24"/>
        </w:rPr>
        <w:t xml:space="preserve"> лежит в диапазоне 6000–13000 Э.</w:t>
      </w:r>
    </w:p>
    <w:p w14:paraId="73F2C08D" w14:textId="699ABD9D" w:rsidR="006662E1" w:rsidRPr="00D23C8B" w:rsidRDefault="00E7170E" w:rsidP="00D23C8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7170E">
        <w:rPr>
          <w:rFonts w:ascii="Times New Roman" w:eastAsia="DengXian" w:hAnsi="Times New Roman" w:cs="Times New Roman"/>
          <w:sz w:val="24"/>
          <w:szCs w:val="24"/>
        </w:rPr>
        <w:t xml:space="preserve">Полученные образцы позволили впервые исследовать частоты ФМР </w:t>
      </w:r>
      <w:proofErr w:type="spellStart"/>
      <w:r w:rsidRPr="00E7170E">
        <w:rPr>
          <w:rFonts w:ascii="Times New Roman" w:eastAsia="DengXian" w:hAnsi="Times New Roman" w:cs="Times New Roman"/>
          <w:sz w:val="24"/>
          <w:szCs w:val="24"/>
        </w:rPr>
        <w:t>гексаферритов</w:t>
      </w:r>
      <w:proofErr w:type="spellEnd"/>
      <w:r w:rsidRPr="00E7170E">
        <w:rPr>
          <w:rFonts w:ascii="Times New Roman" w:eastAsia="DengXian" w:hAnsi="Times New Roman" w:cs="Times New Roman"/>
          <w:sz w:val="24"/>
          <w:szCs w:val="24"/>
        </w:rPr>
        <w:t xml:space="preserve"> в зависимости от размера частиц и катионного замещения. Показано, что частота ФМР наночастиц незамещенного гексаферрита несколько ниже (35–45 ГГц), чем у объемного материала (50 ГГц). Замещение позволяет значительно увеличить частоты ФМР: до 60–100 ГГц для коллоидных частиц и до 130 ГГц для субмикронных частиц с высокими степенями замещения.</w:t>
      </w:r>
    </w:p>
    <w:p w14:paraId="7F54F1F3" w14:textId="79920FFA" w:rsidR="008A0DE8" w:rsidRDefault="0037506A" w:rsidP="008A0DE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sz w:val="24"/>
          <w:szCs w:val="24"/>
        </w:rPr>
        <w:t>Изготовленные ч</w:t>
      </w:r>
      <w:r w:rsidR="00E7170E" w:rsidRPr="00E7170E">
        <w:rPr>
          <w:rFonts w:ascii="Times New Roman" w:eastAsia="DengXian" w:hAnsi="Times New Roman" w:cs="Times New Roman"/>
          <w:sz w:val="24"/>
          <w:szCs w:val="24"/>
        </w:rPr>
        <w:t>астицы гексаферрита</w:t>
      </w:r>
      <w:r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="00E7170E" w:rsidRPr="00E7170E">
        <w:rPr>
          <w:rFonts w:ascii="Times New Roman" w:eastAsia="DengXian" w:hAnsi="Times New Roman" w:cs="Times New Roman"/>
          <w:sz w:val="24"/>
          <w:szCs w:val="24"/>
        </w:rPr>
        <w:t xml:space="preserve">являются перспективными строительными блоками для </w:t>
      </w:r>
      <w:r w:rsidR="001A0801">
        <w:rPr>
          <w:rFonts w:ascii="Times New Roman" w:eastAsia="DengXian" w:hAnsi="Times New Roman" w:cs="Times New Roman"/>
          <w:sz w:val="24"/>
          <w:szCs w:val="24"/>
        </w:rPr>
        <w:t>разработки</w:t>
      </w:r>
      <w:r w:rsidR="00E7170E" w:rsidRPr="00E7170E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="00DB3695">
        <w:rPr>
          <w:rFonts w:ascii="Times New Roman" w:eastAsia="DengXian" w:hAnsi="Times New Roman" w:cs="Times New Roman"/>
          <w:sz w:val="24"/>
          <w:szCs w:val="24"/>
        </w:rPr>
        <w:t>магнитных и поглощающих</w:t>
      </w:r>
      <w:r w:rsidR="00E7170E" w:rsidRPr="00E7170E">
        <w:rPr>
          <w:rFonts w:ascii="Times New Roman" w:eastAsia="DengXian" w:hAnsi="Times New Roman" w:cs="Times New Roman"/>
          <w:sz w:val="24"/>
          <w:szCs w:val="24"/>
        </w:rPr>
        <w:t xml:space="preserve"> материалов</w:t>
      </w:r>
      <w:r w:rsidR="00DB3695">
        <w:rPr>
          <w:rFonts w:ascii="Times New Roman" w:eastAsia="DengXian" w:hAnsi="Times New Roman" w:cs="Times New Roman"/>
          <w:sz w:val="24"/>
          <w:szCs w:val="24"/>
        </w:rPr>
        <w:t>,</w:t>
      </w:r>
      <w:r w:rsidR="00E7170E" w:rsidRPr="00E7170E">
        <w:rPr>
          <w:rFonts w:ascii="Times New Roman" w:eastAsia="DengXian" w:hAnsi="Times New Roman" w:cs="Times New Roman"/>
          <w:sz w:val="24"/>
          <w:szCs w:val="24"/>
        </w:rPr>
        <w:t xml:space="preserve"> работающих в </w:t>
      </w:r>
      <w:proofErr w:type="spellStart"/>
      <w:r w:rsidR="00E7170E" w:rsidRPr="00E7170E">
        <w:rPr>
          <w:rFonts w:ascii="Times New Roman" w:eastAsia="DengXian" w:hAnsi="Times New Roman" w:cs="Times New Roman"/>
          <w:sz w:val="24"/>
          <w:szCs w:val="24"/>
        </w:rPr>
        <w:t>субтерагерцовом</w:t>
      </w:r>
      <w:proofErr w:type="spellEnd"/>
      <w:r w:rsidR="00E7170E" w:rsidRPr="00E7170E">
        <w:rPr>
          <w:rFonts w:ascii="Times New Roman" w:eastAsia="DengXian" w:hAnsi="Times New Roman" w:cs="Times New Roman"/>
          <w:sz w:val="24"/>
          <w:szCs w:val="24"/>
        </w:rPr>
        <w:t xml:space="preserve"> диапазоне</w:t>
      </w:r>
      <w:r w:rsidR="001A0801">
        <w:rPr>
          <w:rFonts w:ascii="Times New Roman" w:eastAsia="DengXian" w:hAnsi="Times New Roman" w:cs="Times New Roman"/>
          <w:sz w:val="24"/>
          <w:szCs w:val="24"/>
        </w:rPr>
        <w:t xml:space="preserve"> частот электромагнитного спектра</w:t>
      </w:r>
      <w:r>
        <w:rPr>
          <w:rFonts w:ascii="Times New Roman" w:eastAsia="DengXian" w:hAnsi="Times New Roman" w:cs="Times New Roman"/>
          <w:sz w:val="24"/>
          <w:szCs w:val="24"/>
        </w:rPr>
        <w:t>.</w:t>
      </w:r>
    </w:p>
    <w:p w14:paraId="0E493B47" w14:textId="6641A49C" w:rsidR="00DB7B04" w:rsidRDefault="00E7170E" w:rsidP="008A0DE8">
      <w:pPr>
        <w:spacing w:after="0" w:line="240" w:lineRule="auto"/>
        <w:ind w:firstLine="397"/>
        <w:jc w:val="both"/>
        <w:rPr>
          <w:rFonts w:ascii="Times New Roman" w:eastAsia="DengXian" w:hAnsi="Times New Roman" w:cs="Times New Roman"/>
          <w:i/>
          <w:sz w:val="24"/>
          <w:szCs w:val="24"/>
        </w:rPr>
      </w:pPr>
      <w:r w:rsidRPr="00CE5475">
        <w:rPr>
          <w:rFonts w:ascii="Times New Roman" w:eastAsia="DengXian" w:hAnsi="Times New Roman" w:cs="Times New Roman"/>
          <w:i/>
          <w:sz w:val="24"/>
          <w:szCs w:val="24"/>
        </w:rPr>
        <w:t xml:space="preserve">Работа поддержана </w:t>
      </w:r>
      <w:r w:rsidR="00BD46B8" w:rsidRPr="00CE5475">
        <w:rPr>
          <w:rFonts w:ascii="Times New Roman" w:eastAsia="DengXian" w:hAnsi="Times New Roman" w:cs="Times New Roman"/>
          <w:i/>
          <w:sz w:val="24"/>
          <w:szCs w:val="24"/>
        </w:rPr>
        <w:t>Российским научным фондом</w:t>
      </w:r>
      <w:r w:rsidRPr="00CE5475">
        <w:rPr>
          <w:rFonts w:ascii="Times New Roman" w:eastAsia="DengXian" w:hAnsi="Times New Roman" w:cs="Times New Roman"/>
          <w:i/>
          <w:sz w:val="24"/>
          <w:szCs w:val="24"/>
        </w:rPr>
        <w:t xml:space="preserve">, грант № </w:t>
      </w:r>
      <w:r w:rsidR="00BD46B8" w:rsidRPr="00CE5475">
        <w:rPr>
          <w:rFonts w:ascii="Times New Roman" w:eastAsia="DengXian" w:hAnsi="Times New Roman" w:cs="Times New Roman"/>
          <w:i/>
          <w:sz w:val="24"/>
          <w:szCs w:val="24"/>
        </w:rPr>
        <w:t>24-79-10053</w:t>
      </w:r>
      <w:r w:rsidRPr="00CE5475">
        <w:rPr>
          <w:rFonts w:ascii="Times New Roman" w:eastAsia="DengXian" w:hAnsi="Times New Roman" w:cs="Times New Roman"/>
          <w:i/>
          <w:sz w:val="24"/>
          <w:szCs w:val="24"/>
        </w:rPr>
        <w:t>.</w:t>
      </w:r>
    </w:p>
    <w:sectPr w:rsidR="00DB7B04" w:rsidSect="00F4434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90898" w14:textId="77777777" w:rsidR="00BE2FBA" w:rsidRDefault="00BE2FBA" w:rsidP="00D23C8B">
      <w:pPr>
        <w:spacing w:after="0" w:line="240" w:lineRule="auto"/>
      </w:pPr>
      <w:r>
        <w:separator/>
      </w:r>
    </w:p>
  </w:endnote>
  <w:endnote w:type="continuationSeparator" w:id="0">
    <w:p w14:paraId="7316FA63" w14:textId="77777777" w:rsidR="00BE2FBA" w:rsidRDefault="00BE2FBA" w:rsidP="00D23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505F0" w14:textId="77777777" w:rsidR="00BE2FBA" w:rsidRDefault="00BE2FBA" w:rsidP="00D23C8B">
      <w:pPr>
        <w:spacing w:after="0" w:line="240" w:lineRule="auto"/>
      </w:pPr>
      <w:r>
        <w:separator/>
      </w:r>
    </w:p>
  </w:footnote>
  <w:footnote w:type="continuationSeparator" w:id="0">
    <w:p w14:paraId="408D8451" w14:textId="77777777" w:rsidR="00BE2FBA" w:rsidRDefault="00BE2FBA" w:rsidP="00D23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7021D"/>
    <w:multiLevelType w:val="hybridMultilevel"/>
    <w:tmpl w:val="6DBA1AA8"/>
    <w:lvl w:ilvl="0" w:tplc="1D9C6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9A49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F8D3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0E13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AC2F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0211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A66D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8AE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407A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968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80"/>
    <w:rsid w:val="00032F0E"/>
    <w:rsid w:val="000551D0"/>
    <w:rsid w:val="000C69AA"/>
    <w:rsid w:val="001A0801"/>
    <w:rsid w:val="001C297E"/>
    <w:rsid w:val="00285806"/>
    <w:rsid w:val="0033129B"/>
    <w:rsid w:val="0036793C"/>
    <w:rsid w:val="0037506A"/>
    <w:rsid w:val="003C2BE0"/>
    <w:rsid w:val="003D634B"/>
    <w:rsid w:val="003F0F1A"/>
    <w:rsid w:val="003F3658"/>
    <w:rsid w:val="003F7738"/>
    <w:rsid w:val="004328F9"/>
    <w:rsid w:val="00440171"/>
    <w:rsid w:val="00441DDA"/>
    <w:rsid w:val="004D3ECF"/>
    <w:rsid w:val="004F4288"/>
    <w:rsid w:val="004F7AC9"/>
    <w:rsid w:val="00593620"/>
    <w:rsid w:val="005A165B"/>
    <w:rsid w:val="005A6677"/>
    <w:rsid w:val="005D581D"/>
    <w:rsid w:val="005F30D6"/>
    <w:rsid w:val="0062789E"/>
    <w:rsid w:val="006334B1"/>
    <w:rsid w:val="0064029A"/>
    <w:rsid w:val="006662E1"/>
    <w:rsid w:val="006B3EBD"/>
    <w:rsid w:val="006E1A23"/>
    <w:rsid w:val="007300AC"/>
    <w:rsid w:val="007843E0"/>
    <w:rsid w:val="00801980"/>
    <w:rsid w:val="008178FD"/>
    <w:rsid w:val="00827D3D"/>
    <w:rsid w:val="008363C7"/>
    <w:rsid w:val="00863F19"/>
    <w:rsid w:val="00892B80"/>
    <w:rsid w:val="008A0DE8"/>
    <w:rsid w:val="008D2495"/>
    <w:rsid w:val="008E3654"/>
    <w:rsid w:val="009940E9"/>
    <w:rsid w:val="00A12216"/>
    <w:rsid w:val="00A220BA"/>
    <w:rsid w:val="00A22DD4"/>
    <w:rsid w:val="00A341E6"/>
    <w:rsid w:val="00A543FD"/>
    <w:rsid w:val="00A76C4A"/>
    <w:rsid w:val="00B27ED9"/>
    <w:rsid w:val="00B95833"/>
    <w:rsid w:val="00BC5EB9"/>
    <w:rsid w:val="00BD46B8"/>
    <w:rsid w:val="00BE2FBA"/>
    <w:rsid w:val="00BF107C"/>
    <w:rsid w:val="00BF2E0A"/>
    <w:rsid w:val="00C1679F"/>
    <w:rsid w:val="00C240A1"/>
    <w:rsid w:val="00C53EFC"/>
    <w:rsid w:val="00C6501C"/>
    <w:rsid w:val="00CE5475"/>
    <w:rsid w:val="00D23C8B"/>
    <w:rsid w:val="00D24AFF"/>
    <w:rsid w:val="00DB3695"/>
    <w:rsid w:val="00DB6F74"/>
    <w:rsid w:val="00DB7B04"/>
    <w:rsid w:val="00DC7C42"/>
    <w:rsid w:val="00DF74CC"/>
    <w:rsid w:val="00E06459"/>
    <w:rsid w:val="00E37AD2"/>
    <w:rsid w:val="00E45595"/>
    <w:rsid w:val="00E52C26"/>
    <w:rsid w:val="00E7170E"/>
    <w:rsid w:val="00E945FD"/>
    <w:rsid w:val="00EB228E"/>
    <w:rsid w:val="00F0149B"/>
    <w:rsid w:val="00F20BA9"/>
    <w:rsid w:val="00F44345"/>
    <w:rsid w:val="00FA38E2"/>
    <w:rsid w:val="00FF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CE532FF"/>
  <w15:chartTrackingRefBased/>
  <w15:docId w15:val="{A3C9CEDB-379E-44E7-9BE5-36859A66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2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B8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B8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B8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2B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2B8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2B8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2B8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2B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2B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2B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2B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2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2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2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2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2B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2B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2B8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2B8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2B8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892B80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23C8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d">
    <w:name w:val="Верхний колонтитул Знак"/>
    <w:basedOn w:val="a0"/>
    <w:link w:val="ac"/>
    <w:uiPriority w:val="99"/>
    <w:rsid w:val="00D23C8B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23C8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">
    <w:name w:val="Нижний колонтитул Знак"/>
    <w:basedOn w:val="a0"/>
    <w:link w:val="ae"/>
    <w:uiPriority w:val="99"/>
    <w:rsid w:val="00D23C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8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4971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067013063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 Trusov</dc:creator>
  <cp:keywords/>
  <dc:description/>
  <cp:lastModifiedBy>I-on</cp:lastModifiedBy>
  <cp:revision>4</cp:revision>
  <dcterms:created xsi:type="dcterms:W3CDTF">2026-03-21T10:05:00Z</dcterms:created>
  <dcterms:modified xsi:type="dcterms:W3CDTF">2026-03-21T10:06:00Z</dcterms:modified>
</cp:coreProperties>
</file>