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D13B" w14:textId="77777777" w:rsidR="00C6614E" w:rsidRDefault="0046433A">
      <w:pPr>
        <w:pBdr>
          <w:top w:val="nil"/>
          <w:left w:val="nil"/>
          <w:bottom w:val="nil"/>
          <w:right w:val="nil"/>
          <w:between w:val="nil"/>
        </w:pBdr>
        <w:shd w:val="clear" w:color="auto" w:fill="FFFFFF"/>
        <w:jc w:val="center"/>
        <w:rPr>
          <w:b/>
        </w:rPr>
      </w:pPr>
      <w:r>
        <w:rPr>
          <w:rFonts w:eastAsiaTheme="minorEastAsia"/>
          <w:b/>
          <w:lang w:eastAsia="ja-JP"/>
        </w:rPr>
        <w:t>Р</w:t>
      </w:r>
      <w:r w:rsidRPr="0046433A">
        <w:rPr>
          <w:b/>
        </w:rPr>
        <w:t xml:space="preserve">азработка </w:t>
      </w:r>
      <w:r>
        <w:rPr>
          <w:b/>
        </w:rPr>
        <w:t>инструментария для</w:t>
      </w:r>
      <w:r w:rsidRPr="0046433A">
        <w:rPr>
          <w:b/>
        </w:rPr>
        <w:t xml:space="preserve"> оценки </w:t>
      </w:r>
      <w:r>
        <w:rPr>
          <w:b/>
        </w:rPr>
        <w:t xml:space="preserve">и сравнения </w:t>
      </w:r>
      <w:r w:rsidRPr="0046433A">
        <w:rPr>
          <w:b/>
        </w:rPr>
        <w:t>экологической эффективности химических синтезов</w:t>
      </w:r>
      <w:r>
        <w:rPr>
          <w:b/>
        </w:rPr>
        <w:t>.</w:t>
      </w:r>
    </w:p>
    <w:p w14:paraId="00000002" w14:textId="1A390A5D" w:rsidR="00130241" w:rsidRDefault="0046433A">
      <w:pPr>
        <w:pBdr>
          <w:top w:val="nil"/>
          <w:left w:val="nil"/>
          <w:bottom w:val="nil"/>
          <w:right w:val="nil"/>
          <w:between w:val="nil"/>
        </w:pBdr>
        <w:shd w:val="clear" w:color="auto" w:fill="FFFFFF"/>
        <w:jc w:val="center"/>
        <w:rPr>
          <w:color w:val="000000"/>
        </w:rPr>
      </w:pPr>
      <w:r>
        <w:rPr>
          <w:b/>
          <w:i/>
          <w:color w:val="000000"/>
        </w:rPr>
        <w:t>Толстов М.А.</w:t>
      </w:r>
      <w:r w:rsidR="008C67E3">
        <w:rPr>
          <w:b/>
          <w:i/>
          <w:color w:val="000000"/>
        </w:rPr>
        <w:t>,</w:t>
      </w:r>
      <w:r w:rsidR="00EB1F49">
        <w:rPr>
          <w:b/>
          <w:i/>
          <w:color w:val="000000"/>
        </w:rPr>
        <w:t xml:space="preserve"> </w:t>
      </w:r>
      <w:r>
        <w:rPr>
          <w:b/>
          <w:i/>
          <w:color w:val="000000"/>
        </w:rPr>
        <w:t>Занин А.А</w:t>
      </w:r>
    </w:p>
    <w:p w14:paraId="24F71096" w14:textId="77777777" w:rsidR="00C6614E" w:rsidRDefault="00C6614E" w:rsidP="0046433A">
      <w:pPr>
        <w:pBdr>
          <w:top w:val="nil"/>
          <w:left w:val="nil"/>
          <w:bottom w:val="nil"/>
          <w:right w:val="nil"/>
          <w:between w:val="nil"/>
        </w:pBdr>
        <w:shd w:val="clear" w:color="auto" w:fill="FFFFFF"/>
        <w:jc w:val="center"/>
        <w:rPr>
          <w:i/>
        </w:rPr>
      </w:pPr>
      <w:r>
        <w:rPr>
          <w:i/>
        </w:rPr>
        <w:t>Аспирант, 1 год обучения</w:t>
      </w:r>
    </w:p>
    <w:p w14:paraId="73AB44A3" w14:textId="3FD762C6" w:rsidR="00C6614E" w:rsidRDefault="0046433A" w:rsidP="0046433A">
      <w:pPr>
        <w:pBdr>
          <w:top w:val="nil"/>
          <w:left w:val="nil"/>
          <w:bottom w:val="nil"/>
          <w:right w:val="nil"/>
          <w:between w:val="nil"/>
        </w:pBdr>
        <w:shd w:val="clear" w:color="auto" w:fill="FFFFFF"/>
        <w:jc w:val="center"/>
        <w:rPr>
          <w:i/>
          <w:color w:val="000000"/>
        </w:rPr>
      </w:pPr>
      <w:r w:rsidRPr="0046433A">
        <w:rPr>
          <w:i/>
          <w:color w:val="000000"/>
        </w:rPr>
        <w:t>РХТУ им. Д.И. Менделеева</w:t>
      </w:r>
      <w:r w:rsidR="00EB1F49">
        <w:rPr>
          <w:i/>
          <w:color w:val="000000"/>
        </w:rPr>
        <w:t>,</w:t>
      </w:r>
      <w:r w:rsidR="00AD7380">
        <w:rPr>
          <w:i/>
          <w:color w:val="000000"/>
        </w:rPr>
        <w:t xml:space="preserve"> </w:t>
      </w:r>
      <w:r>
        <w:rPr>
          <w:i/>
          <w:color w:val="000000"/>
        </w:rPr>
        <w:t>к</w:t>
      </w:r>
      <w:r w:rsidRPr="0046433A">
        <w:rPr>
          <w:i/>
          <w:color w:val="000000"/>
        </w:rPr>
        <w:t xml:space="preserve">афедра ЮНЕСКО </w:t>
      </w:r>
      <w:r w:rsidR="00AF541F">
        <w:rPr>
          <w:i/>
          <w:color w:val="000000"/>
        </w:rPr>
        <w:br/>
      </w:r>
      <w:r w:rsidRPr="0046433A">
        <w:rPr>
          <w:i/>
          <w:color w:val="000000"/>
        </w:rPr>
        <w:t>«Зелёная химия для устойчивого развития»</w:t>
      </w:r>
      <w:r w:rsidR="00EB1F49">
        <w:rPr>
          <w:i/>
          <w:color w:val="000000"/>
        </w:rPr>
        <w:t>, Москва, Россия</w:t>
      </w:r>
    </w:p>
    <w:p w14:paraId="5317FC9E" w14:textId="77777777" w:rsidR="00C6614E" w:rsidRDefault="00EB1F49">
      <w:pPr>
        <w:pBdr>
          <w:top w:val="nil"/>
          <w:left w:val="nil"/>
          <w:bottom w:val="nil"/>
          <w:right w:val="nil"/>
          <w:between w:val="nil"/>
        </w:pBdr>
        <w:shd w:val="clear" w:color="auto" w:fill="FFFFFF"/>
        <w:jc w:val="center"/>
        <w:rPr>
          <w:i/>
          <w:color w:val="000000"/>
        </w:rPr>
      </w:pPr>
      <w:r>
        <w:rPr>
          <w:i/>
          <w:color w:val="000000"/>
        </w:rPr>
        <w:t>E</w:t>
      </w:r>
      <w:r w:rsidR="003B76D6">
        <w:rPr>
          <w:i/>
          <w:color w:val="000000"/>
        </w:rPr>
        <w:t>-</w:t>
      </w:r>
      <w:r>
        <w:rPr>
          <w:i/>
          <w:color w:val="000000"/>
        </w:rPr>
        <w:t xml:space="preserve">mail: </w:t>
      </w:r>
      <w:proofErr w:type="spellStart"/>
      <w:r w:rsidR="0046433A" w:rsidRPr="004B6CBF">
        <w:rPr>
          <w:i/>
          <w:color w:val="000000"/>
          <w:u w:val="single"/>
          <w:lang w:val="en-US"/>
        </w:rPr>
        <w:t>maxjpeg</w:t>
      </w:r>
      <w:proofErr w:type="spellEnd"/>
      <w:r w:rsidR="0046433A" w:rsidRPr="004B6CBF">
        <w:rPr>
          <w:i/>
          <w:color w:val="000000"/>
          <w:u w:val="single"/>
        </w:rPr>
        <w:t>@</w:t>
      </w:r>
      <w:r w:rsidR="0046433A" w:rsidRPr="004B6CBF">
        <w:rPr>
          <w:i/>
          <w:color w:val="000000"/>
          <w:u w:val="single"/>
          <w:lang w:val="en-US"/>
        </w:rPr>
        <w:t>mail</w:t>
      </w:r>
      <w:r w:rsidR="0046433A" w:rsidRPr="004B6CBF">
        <w:rPr>
          <w:i/>
          <w:color w:val="000000"/>
          <w:u w:val="single"/>
        </w:rPr>
        <w:t>.</w:t>
      </w:r>
      <w:proofErr w:type="spellStart"/>
      <w:r w:rsidR="0046433A" w:rsidRPr="004B6CBF">
        <w:rPr>
          <w:i/>
          <w:color w:val="000000"/>
          <w:u w:val="single"/>
          <w:lang w:val="en-US"/>
        </w:rPr>
        <w:t>ru</w:t>
      </w:r>
      <w:proofErr w:type="spellEnd"/>
    </w:p>
    <w:p w14:paraId="11636356" w14:textId="77777777" w:rsidR="00C6614E" w:rsidRDefault="0046433A" w:rsidP="004B6CBF">
      <w:pPr>
        <w:pBdr>
          <w:top w:val="nil"/>
          <w:left w:val="nil"/>
          <w:bottom w:val="nil"/>
          <w:right w:val="nil"/>
          <w:between w:val="nil"/>
        </w:pBdr>
        <w:shd w:val="clear" w:color="auto" w:fill="FFFFFF"/>
        <w:ind w:firstLine="397"/>
        <w:jc w:val="both"/>
        <w:rPr>
          <w:color w:val="000000"/>
        </w:rPr>
      </w:pPr>
      <w:r w:rsidRPr="0046433A">
        <w:rPr>
          <w:color w:val="000000"/>
        </w:rPr>
        <w:t xml:space="preserve">В </w:t>
      </w:r>
      <w:r>
        <w:rPr>
          <w:rFonts w:eastAsiaTheme="minorEastAsia"/>
          <w:color w:val="000000"/>
          <w:lang w:eastAsia="ja-JP"/>
        </w:rPr>
        <w:t>последние годы методы</w:t>
      </w:r>
      <w:r w:rsidRPr="0046433A">
        <w:rPr>
          <w:color w:val="000000"/>
        </w:rPr>
        <w:t xml:space="preserve"> зелён</w:t>
      </w:r>
      <w:r>
        <w:rPr>
          <w:color w:val="000000"/>
        </w:rPr>
        <w:t>ой</w:t>
      </w:r>
      <w:r w:rsidRPr="0046433A">
        <w:rPr>
          <w:color w:val="000000"/>
        </w:rPr>
        <w:t xml:space="preserve"> хими</w:t>
      </w:r>
      <w:r>
        <w:rPr>
          <w:color w:val="000000"/>
        </w:rPr>
        <w:t>и</w:t>
      </w:r>
      <w:r w:rsidRPr="0046433A">
        <w:rPr>
          <w:color w:val="000000"/>
        </w:rPr>
        <w:t xml:space="preserve"> </w:t>
      </w:r>
      <w:r>
        <w:rPr>
          <w:color w:val="000000"/>
        </w:rPr>
        <w:t>находят все большее применение в планировании и реализации технологических процессов</w:t>
      </w:r>
      <w:r w:rsidRPr="0046433A">
        <w:rPr>
          <w:color w:val="000000"/>
        </w:rPr>
        <w:t>. Одним из основных вызовов является оценка экологических параметров химических процессов и использование этих данных для планирования новых вариантов синтеза химического вещества [1]. Выбор метода оценки в большей степени зависит от конкретных задач по экологической оптимизации процесса и области применения, что затрудняет разработку универсального алгоритма, подходящего для различных отраслей химической промышленности и научно-образовательной деятельности [2].</w:t>
      </w:r>
    </w:p>
    <w:p w14:paraId="022FC08C" w14:textId="0405E4D0" w:rsidR="00A02163" w:rsidRDefault="004B6CBF" w:rsidP="0046433A">
      <w:pPr>
        <w:pBdr>
          <w:top w:val="nil"/>
          <w:left w:val="nil"/>
          <w:bottom w:val="nil"/>
          <w:right w:val="nil"/>
          <w:between w:val="nil"/>
        </w:pBdr>
        <w:shd w:val="clear" w:color="auto" w:fill="FFFFFF"/>
        <w:ind w:firstLine="397"/>
        <w:jc w:val="both"/>
        <w:rPr>
          <w:i/>
          <w:iCs/>
          <w:color w:val="000000"/>
        </w:rPr>
      </w:pPr>
      <w:r w:rsidRPr="004B6CBF">
        <w:rPr>
          <w:rFonts w:eastAsia="Calibri"/>
          <w:noProof/>
          <w:sz w:val="22"/>
          <w:szCs w:val="22"/>
          <w:lang w:eastAsia="ja-JP"/>
        </w:rPr>
        <w:drawing>
          <wp:anchor distT="0" distB="0" distL="0" distR="0" simplePos="0" relativeHeight="251658240" behindDoc="0" locked="0" layoutInCell="1" allowOverlap="1" wp14:anchorId="7BCB09B2" wp14:editId="2A52C910">
            <wp:simplePos x="0" y="0"/>
            <wp:positionH relativeFrom="margin">
              <wp:align>center</wp:align>
            </wp:positionH>
            <wp:positionV relativeFrom="paragraph">
              <wp:posOffset>1266825</wp:posOffset>
            </wp:positionV>
            <wp:extent cx="4181475" cy="2456815"/>
            <wp:effectExtent l="19050" t="19050" r="28575" b="19685"/>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181475" cy="2456815"/>
                    </a:xfrm>
                    <a:prstGeom prst="rect">
                      <a:avLst/>
                    </a:prstGeom>
                    <a:ln w="12700">
                      <a:solidFill>
                        <a:sysClr val="window" lastClr="FFFFFF"/>
                      </a:solidFill>
                    </a:ln>
                    <a:effectLst/>
                  </pic:spPr>
                </pic:pic>
              </a:graphicData>
            </a:graphic>
            <wp14:sizeRelH relativeFrom="page">
              <wp14:pctWidth>0</wp14:pctWidth>
            </wp14:sizeRelH>
            <wp14:sizeRelV relativeFrom="page">
              <wp14:pctHeight>0</wp14:pctHeight>
            </wp14:sizeRelV>
          </wp:anchor>
        </w:drawing>
      </w:r>
      <w:r w:rsidR="0046433A" w:rsidRPr="0046433A">
        <w:rPr>
          <w:color w:val="000000"/>
        </w:rPr>
        <w:t xml:space="preserve">В качестве основы для формул расчёта большинства показателей использовался показатель массовой интенсивности процесса (PMI) с учётом специфических коэффициентов, определяемых классом опасности химической продукции, согласно ГОСТ 32419—2022. </w:t>
      </w:r>
      <w:r>
        <w:rPr>
          <w:color w:val="000000"/>
        </w:rPr>
        <w:t>Данный</w:t>
      </w:r>
      <w:r w:rsidR="0046433A" w:rsidRPr="0046433A">
        <w:rPr>
          <w:color w:val="000000"/>
        </w:rPr>
        <w:t xml:space="preserve"> факт позволяет проводить оценку ориентируясь на нормативные документы Российской Федерации, что может помочь в стратегии импортозамещения зарубежного программного обеспечения для предприятий-п</w:t>
      </w:r>
      <w:r>
        <w:rPr>
          <w:color w:val="000000"/>
        </w:rPr>
        <w:t>роизводителей химического сырья</w:t>
      </w:r>
      <w:r w:rsidR="00A02163" w:rsidRPr="00A02163">
        <w:rPr>
          <w:i/>
          <w:iCs/>
          <w:color w:val="000000"/>
        </w:rPr>
        <w:t>.</w:t>
      </w:r>
    </w:p>
    <w:p w14:paraId="0A39E2E9" w14:textId="6CA91BA8" w:rsidR="004B6CBF" w:rsidRDefault="004B6CBF" w:rsidP="00AF541F">
      <w:pPr>
        <w:pBdr>
          <w:top w:val="nil"/>
          <w:left w:val="nil"/>
          <w:bottom w:val="nil"/>
          <w:right w:val="nil"/>
          <w:between w:val="nil"/>
        </w:pBdr>
        <w:shd w:val="clear" w:color="auto" w:fill="FFFFFF"/>
        <w:jc w:val="center"/>
        <w:rPr>
          <w:i/>
          <w:iCs/>
          <w:color w:val="000000"/>
        </w:rPr>
      </w:pPr>
      <w:r>
        <w:rPr>
          <w:i/>
          <w:iCs/>
          <w:color w:val="000000"/>
        </w:rPr>
        <w:t xml:space="preserve">Рис. 1. Интерфейс цифрового </w:t>
      </w:r>
      <w:r w:rsidR="00307D0D">
        <w:rPr>
          <w:i/>
          <w:iCs/>
          <w:color w:val="000000"/>
        </w:rPr>
        <w:t>инструмента</w:t>
      </w:r>
    </w:p>
    <w:p w14:paraId="0CBBB5F8" w14:textId="4DCB1C34" w:rsidR="004B6CBF" w:rsidRPr="004B6CBF" w:rsidRDefault="004B6CBF" w:rsidP="0046433A">
      <w:pPr>
        <w:pBdr>
          <w:top w:val="nil"/>
          <w:left w:val="nil"/>
          <w:bottom w:val="nil"/>
          <w:right w:val="nil"/>
          <w:between w:val="nil"/>
        </w:pBdr>
        <w:shd w:val="clear" w:color="auto" w:fill="FFFFFF"/>
        <w:ind w:firstLine="397"/>
        <w:jc w:val="both"/>
        <w:rPr>
          <w:iCs/>
          <w:color w:val="000000"/>
        </w:rPr>
      </w:pPr>
      <w:r w:rsidRPr="004B6CBF">
        <w:rPr>
          <w:iCs/>
          <w:color w:val="000000"/>
        </w:rPr>
        <w:t>Цифровой инструмент был назван «Калькулятор зел</w:t>
      </w:r>
      <w:r>
        <w:rPr>
          <w:iCs/>
          <w:color w:val="000000"/>
        </w:rPr>
        <w:t>ё</w:t>
      </w:r>
      <w:r w:rsidRPr="004B6CBF">
        <w:rPr>
          <w:iCs/>
          <w:color w:val="000000"/>
        </w:rPr>
        <w:t>ных синтезов», он был разработан на языке JavaScript и представлен в виде электронного лабораторного журнала (Рис.1). Данная версия программного обеспечения для операционных систем Windows позволяет проводить оценку и сравнение экологической эффективности для двух синтезов, направленных на получение одного и того же целевого продукта. По результатам оценки приводится сводная таблица, которая указывает по каким параметрам соответствующий процесс превосходит свой аналог по экологической эффективности.</w:t>
      </w:r>
    </w:p>
    <w:p w14:paraId="0000000E" w14:textId="451DB169" w:rsidR="00130241" w:rsidRPr="00B50C80"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78970CAF" w14:textId="77777777" w:rsidR="004B6CBF" w:rsidRPr="004B6CBF" w:rsidRDefault="004B6CBF" w:rsidP="00C6614E">
      <w:pPr>
        <w:pBdr>
          <w:top w:val="nil"/>
          <w:left w:val="nil"/>
          <w:bottom w:val="nil"/>
          <w:right w:val="nil"/>
          <w:between w:val="nil"/>
        </w:pBdr>
        <w:shd w:val="clear" w:color="auto" w:fill="FFFFFF"/>
        <w:jc w:val="both"/>
        <w:rPr>
          <w:color w:val="000000"/>
          <w:lang w:val="en-US"/>
        </w:rPr>
      </w:pPr>
      <w:r w:rsidRPr="004B6CBF">
        <w:rPr>
          <w:color w:val="000000"/>
          <w:lang w:val="en-US"/>
        </w:rPr>
        <w:t xml:space="preserve">1. Constable DJ. Green and sustainable chemistry – the case for a systems-based, interdisciplinary approach. // </w:t>
      </w:r>
      <w:proofErr w:type="spellStart"/>
      <w:r w:rsidRPr="004B6CBF">
        <w:rPr>
          <w:color w:val="000000"/>
          <w:lang w:val="en-US"/>
        </w:rPr>
        <w:t>iScience</w:t>
      </w:r>
      <w:proofErr w:type="spellEnd"/>
      <w:r w:rsidRPr="004B6CBF">
        <w:rPr>
          <w:color w:val="000000"/>
          <w:lang w:val="en-US"/>
        </w:rPr>
        <w:t xml:space="preserve"> 2021, 24:103489. https://doi.org/10.1016/j.isci.2021.103489.</w:t>
      </w:r>
    </w:p>
    <w:p w14:paraId="3486C755" w14:textId="55CE9C25" w:rsidR="00116478" w:rsidRDefault="004B6CBF" w:rsidP="00C6614E">
      <w:pPr>
        <w:pBdr>
          <w:top w:val="nil"/>
          <w:left w:val="nil"/>
          <w:bottom w:val="nil"/>
          <w:right w:val="nil"/>
          <w:between w:val="nil"/>
        </w:pBdr>
        <w:shd w:val="clear" w:color="auto" w:fill="FFFFFF"/>
        <w:jc w:val="both"/>
        <w:rPr>
          <w:color w:val="000000"/>
        </w:rPr>
      </w:pPr>
      <w:r w:rsidRPr="004B6CBF">
        <w:rPr>
          <w:color w:val="000000"/>
          <w:lang w:val="en-US"/>
        </w:rPr>
        <w:t xml:space="preserve">2. Yin L, Yu L, Guo Y, Wang C, Ge Y, Zheng X, Zhang N, You J, Zhang Y, Shi M. Green analytical chemistry metrics for evaluating the greenness of analytical procedures. // J Pharm Anal. 2024 Nov;14(11):101013. </w:t>
      </w:r>
      <w:proofErr w:type="spellStart"/>
      <w:r w:rsidRPr="004B6CBF">
        <w:rPr>
          <w:color w:val="000000"/>
          <w:lang w:val="en-US"/>
        </w:rPr>
        <w:t>doi</w:t>
      </w:r>
      <w:proofErr w:type="spellEnd"/>
      <w:r w:rsidRPr="004B6CBF">
        <w:rPr>
          <w:color w:val="000000"/>
          <w:lang w:val="en-US"/>
        </w:rPr>
        <w:t xml:space="preserve">: 10.1016/j.jpha.2024.101013. </w:t>
      </w:r>
      <w:proofErr w:type="spellStart"/>
      <w:r w:rsidRPr="004B6CBF">
        <w:rPr>
          <w:color w:val="000000"/>
        </w:rPr>
        <w:t>Epub</w:t>
      </w:r>
      <w:proofErr w:type="spellEnd"/>
      <w:r w:rsidRPr="004B6CBF">
        <w:rPr>
          <w:color w:val="000000"/>
        </w:rPr>
        <w:t xml:space="preserve"> 2024 </w:t>
      </w:r>
      <w:proofErr w:type="spellStart"/>
      <w:r w:rsidRPr="004B6CBF">
        <w:rPr>
          <w:color w:val="000000"/>
        </w:rPr>
        <w:t>May</w:t>
      </w:r>
      <w:proofErr w:type="spellEnd"/>
      <w:r w:rsidRPr="004B6CBF">
        <w:rPr>
          <w:color w:val="000000"/>
        </w:rPr>
        <w:t xml:space="preserve"> 25. PMID: 39759968; PMCID: PMC11697060.</w:t>
      </w:r>
    </w:p>
    <w:sectPr w:rsidR="00116478" w:rsidSect="00C6614E">
      <w:pgSz w:w="11906" w:h="16838"/>
      <w:pgMar w:top="1134" w:right="1361" w:bottom="1134" w:left="136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5270953">
    <w:abstractNumId w:val="2"/>
  </w:num>
  <w:num w:numId="2" w16cid:durableId="890657344">
    <w:abstractNumId w:val="3"/>
  </w:num>
  <w:num w:numId="3" w16cid:durableId="449932029">
    <w:abstractNumId w:val="1"/>
  </w:num>
  <w:num w:numId="4" w16cid:durableId="150277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2260A"/>
    <w:rsid w:val="002264EE"/>
    <w:rsid w:val="0023307C"/>
    <w:rsid w:val="002B1CD0"/>
    <w:rsid w:val="00307D0D"/>
    <w:rsid w:val="0031361E"/>
    <w:rsid w:val="00344930"/>
    <w:rsid w:val="00373E2D"/>
    <w:rsid w:val="00391C38"/>
    <w:rsid w:val="003B0C5A"/>
    <w:rsid w:val="003B76D6"/>
    <w:rsid w:val="003D09AD"/>
    <w:rsid w:val="003E2601"/>
    <w:rsid w:val="003F4E6B"/>
    <w:rsid w:val="0046433A"/>
    <w:rsid w:val="004A26A3"/>
    <w:rsid w:val="004B6CBF"/>
    <w:rsid w:val="004F0EDF"/>
    <w:rsid w:val="00522BF1"/>
    <w:rsid w:val="00590166"/>
    <w:rsid w:val="005B07E6"/>
    <w:rsid w:val="005D022B"/>
    <w:rsid w:val="005E5BE9"/>
    <w:rsid w:val="00665279"/>
    <w:rsid w:val="0069427D"/>
    <w:rsid w:val="006F7A19"/>
    <w:rsid w:val="00705378"/>
    <w:rsid w:val="007213E1"/>
    <w:rsid w:val="00775389"/>
    <w:rsid w:val="00797838"/>
    <w:rsid w:val="007C36D8"/>
    <w:rsid w:val="007F2744"/>
    <w:rsid w:val="008931BE"/>
    <w:rsid w:val="008C67E3"/>
    <w:rsid w:val="00914205"/>
    <w:rsid w:val="00921D45"/>
    <w:rsid w:val="009426C0"/>
    <w:rsid w:val="009524A3"/>
    <w:rsid w:val="00980A65"/>
    <w:rsid w:val="009A66DB"/>
    <w:rsid w:val="009B2F80"/>
    <w:rsid w:val="009B3300"/>
    <w:rsid w:val="009F3380"/>
    <w:rsid w:val="00A02163"/>
    <w:rsid w:val="00A314FE"/>
    <w:rsid w:val="00AA1D62"/>
    <w:rsid w:val="00AD7380"/>
    <w:rsid w:val="00AF541F"/>
    <w:rsid w:val="00B50C80"/>
    <w:rsid w:val="00BF36F8"/>
    <w:rsid w:val="00BF4622"/>
    <w:rsid w:val="00C36346"/>
    <w:rsid w:val="00C6614E"/>
    <w:rsid w:val="00C844E2"/>
    <w:rsid w:val="00CB2084"/>
    <w:rsid w:val="00CD00B1"/>
    <w:rsid w:val="00D22306"/>
    <w:rsid w:val="00D37D84"/>
    <w:rsid w:val="00D42542"/>
    <w:rsid w:val="00D8121C"/>
    <w:rsid w:val="00DD47C4"/>
    <w:rsid w:val="00E22189"/>
    <w:rsid w:val="00E74069"/>
    <w:rsid w:val="00E81D35"/>
    <w:rsid w:val="00EB1F49"/>
    <w:rsid w:val="00F55054"/>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FBAE8-FD74-4386-B9C8-E4116564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I-on</cp:lastModifiedBy>
  <cp:revision>4</cp:revision>
  <cp:lastPrinted>2026-01-28T14:24:00Z</cp:lastPrinted>
  <dcterms:created xsi:type="dcterms:W3CDTF">2026-03-23T22:34:00Z</dcterms:created>
  <dcterms:modified xsi:type="dcterms:W3CDTF">2026-03-23T22:34:00Z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