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4738DE" w14:textId="77777777" w:rsidR="00214914" w:rsidRPr="00214914" w:rsidRDefault="00214914" w:rsidP="00214914">
      <w:pPr>
        <w:spacing w:after="120" w:line="240" w:lineRule="auto"/>
        <w:jc w:val="right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214914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Секция «Управление бизнесом и предпринимательство»</w:t>
      </w:r>
    </w:p>
    <w:p w14:paraId="0C5D5AFE" w14:textId="77777777" w:rsidR="00214914" w:rsidRPr="00214914" w:rsidRDefault="00214914" w:rsidP="00214914">
      <w:pPr>
        <w:spacing w:after="120" w:line="240" w:lineRule="auto"/>
        <w:jc w:val="center"/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214914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Факторы текучести и удержания персонала в гостиничном бизнесе: сравнительный анализ люксового и среднего ценового сегментов Москвы</w:t>
      </w:r>
    </w:p>
    <w:p w14:paraId="74787A8B" w14:textId="760D699E" w:rsidR="00214914" w:rsidRPr="00214914" w:rsidRDefault="00214914" w:rsidP="00214914">
      <w:pPr>
        <w:spacing w:after="120" w:line="240" w:lineRule="auto"/>
        <w:jc w:val="center"/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214914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Научный руководитель – </w:t>
      </w:r>
      <w:r w:rsidR="00CE1A29" w:rsidRPr="004C7A97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Тиньков</w:t>
      </w:r>
      <w:r w:rsidRPr="004C7A97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</w:t>
      </w:r>
      <w:r w:rsidR="00CE1A29" w:rsidRPr="004C7A97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Сергей</w:t>
      </w:r>
      <w:r w:rsidRPr="004C7A97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</w:t>
      </w:r>
      <w:r w:rsidR="00CE1A29" w:rsidRPr="004C7A97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Анатольевич</w:t>
      </w:r>
    </w:p>
    <w:p w14:paraId="4D021025" w14:textId="77777777" w:rsidR="00214914" w:rsidRPr="00214914" w:rsidRDefault="00214914" w:rsidP="00214914">
      <w:pPr>
        <w:spacing w:after="0" w:line="240" w:lineRule="auto"/>
        <w:jc w:val="center"/>
        <w:rPr>
          <w:rFonts w:ascii="Times New Roman" w:eastAsia="Aptos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</w:pPr>
      <w:r w:rsidRPr="00214914">
        <w:rPr>
          <w:rFonts w:ascii="Times New Roman" w:eastAsia="Aptos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>Горюнова Анастасия Александровна</w:t>
      </w:r>
    </w:p>
    <w:p w14:paraId="633239C6" w14:textId="77777777" w:rsidR="00214914" w:rsidRPr="00214914" w:rsidRDefault="00214914" w:rsidP="00214914">
      <w:pPr>
        <w:spacing w:after="0" w:line="240" w:lineRule="auto"/>
        <w:jc w:val="center"/>
        <w:rPr>
          <w:rFonts w:ascii="Times New Roman" w:eastAsia="Aptos" w:hAnsi="Times New Roman" w:cs="Times New Roman"/>
          <w:i/>
          <w:iCs/>
          <w:kern w:val="2"/>
          <w:sz w:val="24"/>
          <w:szCs w:val="24"/>
          <w14:ligatures w14:val="standardContextual"/>
        </w:rPr>
      </w:pPr>
      <w:r w:rsidRPr="00214914">
        <w:rPr>
          <w:rFonts w:ascii="Times New Roman" w:eastAsia="Aptos" w:hAnsi="Times New Roman" w:cs="Times New Roman"/>
          <w:i/>
          <w:iCs/>
          <w:kern w:val="2"/>
          <w:sz w:val="24"/>
          <w:szCs w:val="24"/>
          <w14:ligatures w14:val="standardContextual"/>
        </w:rPr>
        <w:t>Студент (бакалавр)</w:t>
      </w:r>
    </w:p>
    <w:p w14:paraId="3AE0B49C" w14:textId="285D03D4" w:rsidR="00091CF3" w:rsidRPr="004C7A97" w:rsidRDefault="00214914" w:rsidP="006060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 w:rsidRPr="004C7A9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Российский экономический университет</w:t>
      </w:r>
      <w:r w:rsidR="004F245F" w:rsidRPr="004C7A9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="007F646B" w:rsidRPr="004C7A9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имени</w:t>
      </w:r>
      <w:r w:rsidR="00091CF3" w:rsidRPr="004C7A9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Г.В. Плеханова</w:t>
      </w:r>
      <w:r w:rsidR="00606006" w:rsidRPr="004C7A9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, </w:t>
      </w:r>
      <w:r w:rsidR="0004316B" w:rsidRPr="004C7A9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Высшая школа менеджмента</w:t>
      </w:r>
      <w:r w:rsidR="006B6BDF" w:rsidRPr="004C7A9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, </w:t>
      </w:r>
      <w:r w:rsidR="00091CF3" w:rsidRPr="004C7A9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Москва, Россия</w:t>
      </w:r>
    </w:p>
    <w:p w14:paraId="4843758D" w14:textId="2556379F" w:rsidR="00BC1A99" w:rsidRPr="006A3A6C" w:rsidRDefault="00091CF3" w:rsidP="00BC1A99">
      <w:pPr>
        <w:shd w:val="clear" w:color="auto" w:fill="FFFFFF"/>
        <w:spacing w:after="0" w:line="240" w:lineRule="auto"/>
        <w:jc w:val="center"/>
        <w:rPr>
          <w:rStyle w:val="a6"/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none"/>
          <w:lang w:eastAsia="ru-RU"/>
        </w:rPr>
      </w:pPr>
      <w:bookmarkStart w:id="0" w:name="_GoBack"/>
      <w:r w:rsidRPr="006A3A6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E</w:t>
      </w:r>
      <w:r w:rsidR="006B6BDF" w:rsidRPr="006A3A6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-</w:t>
      </w:r>
      <w:proofErr w:type="spellStart"/>
      <w:r w:rsidRPr="006A3A6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mail</w:t>
      </w:r>
      <w:proofErr w:type="spellEnd"/>
      <w:r w:rsidRPr="006A3A6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: </w:t>
      </w:r>
      <w:hyperlink r:id="rId7" w:history="1">
        <w:r w:rsidR="006B6BDF" w:rsidRPr="006A3A6C">
          <w:rPr>
            <w:rStyle w:val="a6"/>
            <w:rFonts w:ascii="Times New Roman" w:eastAsia="Times New Roman" w:hAnsi="Times New Roman" w:cs="Times New Roman"/>
            <w:i/>
            <w:iCs/>
            <w:color w:val="000000" w:themeColor="text1"/>
            <w:sz w:val="24"/>
            <w:szCs w:val="24"/>
            <w:u w:val="none"/>
            <w:lang w:val="en-US" w:eastAsia="ru-RU"/>
          </w:rPr>
          <w:t>anastasiia</w:t>
        </w:r>
        <w:r w:rsidR="006B6BDF" w:rsidRPr="006A3A6C">
          <w:rPr>
            <w:rStyle w:val="a6"/>
            <w:rFonts w:ascii="Times New Roman" w:eastAsia="Times New Roman" w:hAnsi="Times New Roman" w:cs="Times New Roman"/>
            <w:i/>
            <w:iCs/>
            <w:color w:val="000000" w:themeColor="text1"/>
            <w:sz w:val="24"/>
            <w:szCs w:val="24"/>
            <w:u w:val="none"/>
            <w:lang w:eastAsia="ru-RU"/>
          </w:rPr>
          <w:t>.2003@</w:t>
        </w:r>
        <w:r w:rsidR="006B6BDF" w:rsidRPr="006A3A6C">
          <w:rPr>
            <w:rStyle w:val="a6"/>
            <w:rFonts w:ascii="Times New Roman" w:eastAsia="Times New Roman" w:hAnsi="Times New Roman" w:cs="Times New Roman"/>
            <w:i/>
            <w:iCs/>
            <w:color w:val="000000" w:themeColor="text1"/>
            <w:sz w:val="24"/>
            <w:szCs w:val="24"/>
            <w:u w:val="none"/>
            <w:lang w:val="en-US" w:eastAsia="ru-RU"/>
          </w:rPr>
          <w:t>inbox</w:t>
        </w:r>
        <w:r w:rsidR="006B6BDF" w:rsidRPr="006A3A6C">
          <w:rPr>
            <w:rStyle w:val="a6"/>
            <w:rFonts w:ascii="Times New Roman" w:eastAsia="Times New Roman" w:hAnsi="Times New Roman" w:cs="Times New Roman"/>
            <w:i/>
            <w:iCs/>
            <w:color w:val="000000" w:themeColor="text1"/>
            <w:sz w:val="24"/>
            <w:szCs w:val="24"/>
            <w:u w:val="none"/>
            <w:lang w:eastAsia="ru-RU"/>
          </w:rPr>
          <w:t>.</w:t>
        </w:r>
        <w:proofErr w:type="spellStart"/>
        <w:r w:rsidR="006B6BDF" w:rsidRPr="006A3A6C">
          <w:rPr>
            <w:rStyle w:val="a6"/>
            <w:rFonts w:ascii="Times New Roman" w:eastAsia="Times New Roman" w:hAnsi="Times New Roman" w:cs="Times New Roman"/>
            <w:i/>
            <w:iCs/>
            <w:color w:val="000000" w:themeColor="text1"/>
            <w:sz w:val="24"/>
            <w:szCs w:val="24"/>
            <w:u w:val="none"/>
            <w:lang w:val="en-US" w:eastAsia="ru-RU"/>
          </w:rPr>
          <w:t>ru</w:t>
        </w:r>
        <w:proofErr w:type="spellEnd"/>
      </w:hyperlink>
    </w:p>
    <w:bookmarkEnd w:id="0"/>
    <w:p w14:paraId="77A0A646" w14:textId="77777777" w:rsidR="00214914" w:rsidRPr="007C499F" w:rsidRDefault="00214914" w:rsidP="00BC1A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</w:p>
    <w:p w14:paraId="14C74C77" w14:textId="77777777" w:rsidR="00BC1A99" w:rsidRPr="00BC1A99" w:rsidRDefault="00BC1A99" w:rsidP="00BC1A99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1A99">
        <w:rPr>
          <w:rFonts w:ascii="Times New Roman" w:hAnsi="Times New Roman" w:cs="Times New Roman"/>
          <w:color w:val="000000" w:themeColor="text1"/>
          <w:sz w:val="24"/>
          <w:szCs w:val="24"/>
        </w:rPr>
        <w:t>Гостиничная отрасль Москвы испытывает острый дефицит кадров. По данным Российского союза туриндустрии, нехватка персонала достигает 30%, к 2030 году потребуется около 300 тыс. специалистов, в столице открыто более 33 тыс. вакансий [2; 6]. Высокая текучесть сдерживает развитие бизнеса. Цель работы – выявить ключевые причины увольнений и факторы удержания персонала на основе анализа отзывов работников московских отелей, сопоставив их с данными опросов работодателей и научными исследованиями.</w:t>
      </w:r>
    </w:p>
    <w:p w14:paraId="3CCD2814" w14:textId="77777777" w:rsidR="00BC1A99" w:rsidRPr="00BC1A99" w:rsidRDefault="00BC1A99" w:rsidP="00BC1A99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1A99">
        <w:rPr>
          <w:rFonts w:ascii="Times New Roman" w:hAnsi="Times New Roman" w:cs="Times New Roman"/>
          <w:color w:val="000000" w:themeColor="text1"/>
          <w:sz w:val="24"/>
          <w:szCs w:val="24"/>
        </w:rPr>
        <w:t>Эмпирическую базу составили отзывы на </w:t>
      </w:r>
      <w:hyperlink r:id="rId8" w:tgtFrame="_blank" w:history="1">
        <w:r w:rsidRPr="00BC1A99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hh.ru</w:t>
        </w:r>
      </w:hyperlink>
      <w:r w:rsidRPr="00BC1A99">
        <w:rPr>
          <w:rFonts w:ascii="Times New Roman" w:hAnsi="Times New Roman" w:cs="Times New Roman"/>
          <w:color w:val="000000" w:themeColor="text1"/>
          <w:sz w:val="24"/>
          <w:szCs w:val="24"/>
        </w:rPr>
        <w:t> за 2021–2026 гг. Проанализировано 594 отзыва из семи люксовых отелей и 255 из девяти отелей среднего ценового сегмента. Методом контент-анализа фиксировались негативные и позитивные суждения с последующей категоризацией и подсчетом частоты. На основе данных вычислялись доли каждой категории отдельно для двух сегментов.</w:t>
      </w:r>
    </w:p>
    <w:p w14:paraId="25875F9C" w14:textId="77777777" w:rsidR="00BC1A99" w:rsidRPr="00BC1A99" w:rsidRDefault="00BC1A99" w:rsidP="00BC1A99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1A99">
        <w:rPr>
          <w:rFonts w:ascii="Times New Roman" w:hAnsi="Times New Roman" w:cs="Times New Roman"/>
          <w:color w:val="000000" w:themeColor="text1"/>
          <w:sz w:val="24"/>
          <w:szCs w:val="24"/>
        </w:rPr>
        <w:t>В люксовом сегменте доминирует неудовлетворенность зарплатой – 23,9% негативных упоминаний. Далее следуют неэффективное руководство (15%), неудовлетворительные условия труда (10,7%), недостаточная коммуникация между отделами (9,6%), высокая нагрузка (8,5%). В среднем сегменте жалобы на оплату труда встречаются реже (14,9%), но чаще фиксируются неблагоприятный психологический климат (6,1% против 3% в люксе), неудобный график (7,1%), дефицит обучения (7,1%).</w:t>
      </w:r>
    </w:p>
    <w:p w14:paraId="556B9D11" w14:textId="77777777" w:rsidR="00BC1A99" w:rsidRPr="00BC1A99" w:rsidRDefault="00BC1A99" w:rsidP="00BC1A99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1A99">
        <w:rPr>
          <w:rFonts w:ascii="Times New Roman" w:hAnsi="Times New Roman" w:cs="Times New Roman"/>
          <w:color w:val="000000" w:themeColor="text1"/>
          <w:sz w:val="24"/>
          <w:szCs w:val="24"/>
        </w:rPr>
        <w:t>Факторы удержания в обоих сегментах возглавляет благоприятный психологический климат (35,7% в люксе, 32,2% в среднем). Второе место занимает достойная оплата труда (28%), третье – качественное питание (27%). Для сотрудников среднего сегмента важнее возможность совмещать работу с учебой (4,7% против 2,4% в люксе), для работников люксового – престиж бренда (6,4% против 3,1%) и наличие ДМС (15,3% против 11%).</w:t>
      </w:r>
    </w:p>
    <w:p w14:paraId="1C757443" w14:textId="77777777" w:rsidR="00BC1A99" w:rsidRPr="00BC1A99" w:rsidRDefault="00BC1A99" w:rsidP="00BC1A99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1A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Полученные результаты согласуются с выводами исследований на базе московских гостиниц. М.А. Баранова и Т.В. Егорова, анализируя программу адаптации в </w:t>
      </w:r>
      <w:proofErr w:type="spellStart"/>
      <w:r w:rsidRPr="00BC1A99">
        <w:rPr>
          <w:rFonts w:ascii="Times New Roman" w:hAnsi="Times New Roman" w:cs="Times New Roman"/>
          <w:color w:val="000000" w:themeColor="text1"/>
          <w:sz w:val="24"/>
          <w:szCs w:val="24"/>
        </w:rPr>
        <w:t>DoubleTree</w:t>
      </w:r>
      <w:proofErr w:type="spellEnd"/>
      <w:r w:rsidRPr="00BC1A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1A99">
        <w:rPr>
          <w:rFonts w:ascii="Times New Roman" w:hAnsi="Times New Roman" w:cs="Times New Roman"/>
          <w:color w:val="000000" w:themeColor="text1"/>
          <w:sz w:val="24"/>
          <w:szCs w:val="24"/>
        </w:rPr>
        <w:t>by</w:t>
      </w:r>
      <w:proofErr w:type="spellEnd"/>
      <w:r w:rsidRPr="00BC1A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1A99">
        <w:rPr>
          <w:rFonts w:ascii="Times New Roman" w:hAnsi="Times New Roman" w:cs="Times New Roman"/>
          <w:color w:val="000000" w:themeColor="text1"/>
          <w:sz w:val="24"/>
          <w:szCs w:val="24"/>
        </w:rPr>
        <w:t>Hilton</w:t>
      </w:r>
      <w:proofErr w:type="spellEnd"/>
      <w:r w:rsidRPr="00BC1A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1A99">
        <w:rPr>
          <w:rFonts w:ascii="Times New Roman" w:hAnsi="Times New Roman" w:cs="Times New Roman"/>
          <w:color w:val="000000" w:themeColor="text1"/>
          <w:sz w:val="24"/>
          <w:szCs w:val="24"/>
        </w:rPr>
        <w:t>Moscow</w:t>
      </w:r>
      <w:proofErr w:type="spellEnd"/>
      <w:r w:rsidRPr="00BC1A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 w:rsidRPr="00BC1A99">
        <w:rPr>
          <w:rFonts w:ascii="Times New Roman" w:hAnsi="Times New Roman" w:cs="Times New Roman"/>
          <w:color w:val="000000" w:themeColor="text1"/>
          <w:sz w:val="24"/>
          <w:szCs w:val="24"/>
        </w:rPr>
        <w:t>Marina</w:t>
      </w:r>
      <w:proofErr w:type="spellEnd"/>
      <w:r w:rsidRPr="00BC1A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подчёркивают, что эффективная адаптация сокращает текучесть [1]. Это коррелирует с выявленным дефицитом обучения (7,1% в среднем сегменте). М.А. Жукова и В.А. Жуков на основе опроса сотрудников крупной московской гостиницы показали, что программы привилегий не являются решающим фактором лояльности [3], подтверждая разрыв между мерами отельеров и запросами работников. В.Н. Круглов, исследуя кадровый потенциал московского комплекса «На </w:t>
      </w:r>
      <w:proofErr w:type="spellStart"/>
      <w:r w:rsidRPr="00BC1A99">
        <w:rPr>
          <w:rFonts w:ascii="Times New Roman" w:hAnsi="Times New Roman" w:cs="Times New Roman"/>
          <w:color w:val="000000" w:themeColor="text1"/>
          <w:sz w:val="24"/>
          <w:szCs w:val="24"/>
        </w:rPr>
        <w:t>Сухаревке</w:t>
      </w:r>
      <w:proofErr w:type="spellEnd"/>
      <w:r w:rsidRPr="00BC1A99">
        <w:rPr>
          <w:rFonts w:ascii="Times New Roman" w:hAnsi="Times New Roman" w:cs="Times New Roman"/>
          <w:color w:val="000000" w:themeColor="text1"/>
          <w:sz w:val="24"/>
          <w:szCs w:val="24"/>
        </w:rPr>
        <w:t>», отмечает необходимость новых моделей управления [5], что соотносится с необходимостью дифференцированного подхода к сегментам.</w:t>
      </w:r>
    </w:p>
    <w:p w14:paraId="60F9F512" w14:textId="7D973427" w:rsidR="00BC1A99" w:rsidRPr="00BC1A99" w:rsidRDefault="00BC1A99" w:rsidP="00BC1A99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1A99">
        <w:rPr>
          <w:rFonts w:ascii="Times New Roman" w:hAnsi="Times New Roman" w:cs="Times New Roman"/>
          <w:color w:val="000000" w:themeColor="text1"/>
          <w:sz w:val="24"/>
          <w:szCs w:val="24"/>
        </w:rPr>
        <w:t>Сопоставление с опросом российских отельеров (</w:t>
      </w:r>
      <w:proofErr w:type="spellStart"/>
      <w:r w:rsidRPr="00BC1A99">
        <w:rPr>
          <w:rFonts w:ascii="Times New Roman" w:hAnsi="Times New Roman" w:cs="Times New Roman"/>
          <w:color w:val="000000" w:themeColor="text1"/>
          <w:sz w:val="24"/>
          <w:szCs w:val="24"/>
        </w:rPr>
        <w:t>Ventra</w:t>
      </w:r>
      <w:proofErr w:type="spellEnd"/>
      <w:r w:rsidRPr="00BC1A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BC1A99">
        <w:rPr>
          <w:rFonts w:ascii="Times New Roman" w:hAnsi="Times New Roman" w:cs="Times New Roman"/>
          <w:color w:val="000000" w:themeColor="text1"/>
          <w:sz w:val="24"/>
          <w:szCs w:val="24"/>
        </w:rPr>
        <w:t>Go</w:t>
      </w:r>
      <w:proofErr w:type="spellEnd"/>
      <w:r w:rsidRPr="00BC1A99">
        <w:rPr>
          <w:rFonts w:ascii="Times New Roman" w:hAnsi="Times New Roman" w:cs="Times New Roman"/>
          <w:color w:val="000000" w:themeColor="text1"/>
          <w:sz w:val="24"/>
          <w:szCs w:val="24"/>
        </w:rPr>
        <w:t>!,</w:t>
      </w:r>
      <w:proofErr w:type="gramEnd"/>
      <w:r w:rsidRPr="00BC1A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«Островок», 2025) показывает: 91% отельеров столкнулись с дефицитом кадров, 22% назвали текучесть главной проблемой [4]. В Москве спрос на временный персонал вырос на 132% [7]. Отельеры применяют оперативные меры (61% чаще нанимают временный персонал, 21% автоматизируют процессы) и мотивационные (вознаграждение за KPI, бонусы). Однако 22% респондентов по-прежнему считают текучку главной проблемой, отраслевой показатель текучести остается на уровне 70% [4].</w:t>
      </w:r>
    </w:p>
    <w:p w14:paraId="703B9F5C" w14:textId="60D7BA47" w:rsidR="00BC1A99" w:rsidRPr="00BC1A99" w:rsidRDefault="00BC1A99" w:rsidP="00BC1A99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1A9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Генеральный директор отеля «Карлтон Москва» О. Леоненко отмечает: 60% новичков увольняются в течение года. В «Карлтон» показатель снижен до 30% благодаря корпоративной культуре, матрице привилегий, программам </w:t>
      </w:r>
      <w:proofErr w:type="spellStart"/>
      <w:r w:rsidRPr="00BC1A99">
        <w:rPr>
          <w:rFonts w:ascii="Times New Roman" w:hAnsi="Times New Roman" w:cs="Times New Roman"/>
          <w:color w:val="000000" w:themeColor="text1"/>
          <w:sz w:val="24"/>
          <w:szCs w:val="24"/>
        </w:rPr>
        <w:t>мультискиллинга</w:t>
      </w:r>
      <w:proofErr w:type="spellEnd"/>
      <w:r w:rsidRPr="00BC1A99">
        <w:rPr>
          <w:rFonts w:ascii="Times New Roman" w:hAnsi="Times New Roman" w:cs="Times New Roman"/>
          <w:color w:val="000000" w:themeColor="text1"/>
          <w:sz w:val="24"/>
          <w:szCs w:val="24"/>
        </w:rPr>
        <w:t>. Эксперт подчеркивает важность соцпакета (ДМС, страхование жизни,</w:t>
      </w:r>
      <w:r w:rsidR="001759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психолог</w:t>
      </w:r>
      <w:r w:rsidRPr="00BC1A99">
        <w:rPr>
          <w:rFonts w:ascii="Times New Roman" w:hAnsi="Times New Roman" w:cs="Times New Roman"/>
          <w:color w:val="000000" w:themeColor="text1"/>
          <w:sz w:val="24"/>
          <w:szCs w:val="24"/>
        </w:rPr>
        <w:t>) [8]. Исследование Комитета по туризму Москвы указывает на невысокий престиж отрасли среди молодежи, недостаточный уровень зарплат [4].</w:t>
      </w:r>
    </w:p>
    <w:p w14:paraId="3A5D74DF" w14:textId="77777777" w:rsidR="00BC1A99" w:rsidRPr="00BC1A99" w:rsidRDefault="00BC1A99" w:rsidP="00BC1A99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1A99">
        <w:rPr>
          <w:rFonts w:ascii="Times New Roman" w:hAnsi="Times New Roman" w:cs="Times New Roman"/>
          <w:color w:val="000000" w:themeColor="text1"/>
          <w:sz w:val="24"/>
          <w:szCs w:val="24"/>
        </w:rPr>
        <w:t>Сравнение позиций работодателей и работников обнаруживает совпадение в оценке ключевой проблемы – низкой зарплаты. Эксперты практически не упоминают неблагоприятный психологический климат как проблему, тогда как для сотрудников среднего сегмента этот фактор значим (6,1%). Меры мотивации, предлагаемые отельерами, в отзывах не фигурируют как значимые факторы удержания.</w:t>
      </w:r>
    </w:p>
    <w:p w14:paraId="2E5970F2" w14:textId="0E49C58C" w:rsidR="00BC1A99" w:rsidRDefault="00BC1A99" w:rsidP="00BC1A99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1A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основе анализа сформулированы рекомендации. Ресурсы на бонусные схемы за KPI (не ключевой фактор удержания) целесообразно перераспределить в пользу повышения базовой ставки. Учитывая значимость неблагоприятного психологического климата в среднем сегменте (6,1%), рекомендуется внедрить анонимные опросы и тренинги по управлению конфликтами. Карьерный рост, быстрый в отрасли, не входит в топ-5 факторов удержания – требуется сделать карьерные траектории прозрачными (внутренние вакансии, </w:t>
      </w:r>
      <w:proofErr w:type="spellStart"/>
      <w:r w:rsidRPr="00BC1A99">
        <w:rPr>
          <w:rFonts w:ascii="Times New Roman" w:hAnsi="Times New Roman" w:cs="Times New Roman"/>
          <w:color w:val="000000" w:themeColor="text1"/>
          <w:sz w:val="24"/>
          <w:szCs w:val="24"/>
        </w:rPr>
        <w:t>мультискиллинг</w:t>
      </w:r>
      <w:proofErr w:type="spellEnd"/>
      <w:r w:rsidRPr="00BC1A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примеру «</w:t>
      </w:r>
      <w:proofErr w:type="spellStart"/>
      <w:r w:rsidRPr="00BC1A99">
        <w:rPr>
          <w:rFonts w:ascii="Times New Roman" w:hAnsi="Times New Roman" w:cs="Times New Roman"/>
          <w:color w:val="000000" w:themeColor="text1"/>
          <w:sz w:val="24"/>
          <w:szCs w:val="24"/>
        </w:rPr>
        <w:t>Карлтон</w:t>
      </w:r>
      <w:proofErr w:type="spellEnd"/>
      <w:r w:rsidRPr="00BC1A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Москва») [8]. Высокий уровень жалоб на зарплату в люксе (23,9%) при равной доле позитивных упоминаний об оплате указывает на относительную депривацию. Рекомендуется компенсировать это статусными нематериальными бонусами: престиж бренда, эксклюзивный ДМС, участие в </w:t>
      </w:r>
      <w:proofErr w:type="spellStart"/>
      <w:r w:rsidRPr="00BC1A99">
        <w:rPr>
          <w:rFonts w:ascii="Times New Roman" w:hAnsi="Times New Roman" w:cs="Times New Roman"/>
          <w:color w:val="000000" w:themeColor="text1"/>
          <w:sz w:val="24"/>
          <w:szCs w:val="24"/>
        </w:rPr>
        <w:t>профмероприятиях</w:t>
      </w:r>
      <w:proofErr w:type="spellEnd"/>
      <w:r w:rsidRPr="00BC1A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[8]. Эффективная стратегия удержания требует отказа от универсальных шаблонов и учета реальных запросов сотрудников.</w:t>
      </w:r>
    </w:p>
    <w:p w14:paraId="3F2C4BB3" w14:textId="77777777" w:rsidR="00214914" w:rsidRDefault="00214914" w:rsidP="00BC1A99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2D9638" w14:textId="1FE4DB4A" w:rsidR="00A32DA4" w:rsidRPr="00BC1A99" w:rsidRDefault="00214914" w:rsidP="00D25921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Источники и л</w:t>
      </w:r>
      <w:r w:rsidR="00A32DA4" w:rsidRPr="00A32DA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итература</w:t>
      </w:r>
    </w:p>
    <w:p w14:paraId="08D4D9B2" w14:textId="373DF420" w:rsidR="00A32DA4" w:rsidRPr="00A32DA4" w:rsidRDefault="00A32DA4" w:rsidP="0021491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2D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Баранова М.А., Егорова Т.В. Анализ программы адаптации персонала в гостинице </w:t>
      </w:r>
      <w:proofErr w:type="spellStart"/>
      <w:r w:rsidRPr="00A32DA4">
        <w:rPr>
          <w:rFonts w:ascii="Times New Roman" w:hAnsi="Times New Roman" w:cs="Times New Roman"/>
          <w:color w:val="000000" w:themeColor="text1"/>
          <w:sz w:val="24"/>
          <w:szCs w:val="24"/>
        </w:rPr>
        <w:t>DoubleTree</w:t>
      </w:r>
      <w:proofErr w:type="spellEnd"/>
      <w:r w:rsidRPr="00A32D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32DA4">
        <w:rPr>
          <w:rFonts w:ascii="Times New Roman" w:hAnsi="Times New Roman" w:cs="Times New Roman"/>
          <w:color w:val="000000" w:themeColor="text1"/>
          <w:sz w:val="24"/>
          <w:szCs w:val="24"/>
        </w:rPr>
        <w:t>by</w:t>
      </w:r>
      <w:proofErr w:type="spellEnd"/>
      <w:r w:rsidRPr="00A32D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32DA4">
        <w:rPr>
          <w:rFonts w:ascii="Times New Roman" w:hAnsi="Times New Roman" w:cs="Times New Roman"/>
          <w:color w:val="000000" w:themeColor="text1"/>
          <w:sz w:val="24"/>
          <w:szCs w:val="24"/>
        </w:rPr>
        <w:t>Hilton</w:t>
      </w:r>
      <w:proofErr w:type="spellEnd"/>
      <w:r w:rsidRPr="00A32D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32DA4">
        <w:rPr>
          <w:rFonts w:ascii="Times New Roman" w:hAnsi="Times New Roman" w:cs="Times New Roman"/>
          <w:color w:val="000000" w:themeColor="text1"/>
          <w:sz w:val="24"/>
          <w:szCs w:val="24"/>
        </w:rPr>
        <w:t>Moscow</w:t>
      </w:r>
      <w:proofErr w:type="spellEnd"/>
      <w:r w:rsidRPr="00A32D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 w:rsidRPr="00A32DA4">
        <w:rPr>
          <w:rFonts w:ascii="Times New Roman" w:hAnsi="Times New Roman" w:cs="Times New Roman"/>
          <w:color w:val="000000" w:themeColor="text1"/>
          <w:sz w:val="24"/>
          <w:szCs w:val="24"/>
        </w:rPr>
        <w:t>Marina</w:t>
      </w:r>
      <w:proofErr w:type="spellEnd"/>
      <w:r w:rsidRPr="00A32D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// Гостиничное дело. 2025. № 7. URL: </w:t>
      </w:r>
      <w:hyperlink r:id="rId9" w:tgtFrame="_blank" w:history="1">
        <w:r w:rsidRPr="00A32DA4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https://panor.ru/articles/analiz-programmy-adaptatsii-personala-v-gostinitse-doudle-tree-by-hilton-moscow-marina/114757.html</w:t>
        </w:r>
      </w:hyperlink>
    </w:p>
    <w:p w14:paraId="68B03B5B" w14:textId="442BBAE0" w:rsidR="00A32DA4" w:rsidRPr="00A32DA4" w:rsidRDefault="00A32DA4" w:rsidP="0021491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2DA4">
        <w:rPr>
          <w:rFonts w:ascii="Times New Roman" w:hAnsi="Times New Roman" w:cs="Times New Roman"/>
          <w:color w:val="000000" w:themeColor="text1"/>
          <w:sz w:val="24"/>
          <w:szCs w:val="24"/>
        </w:rPr>
        <w:t>В этой отрасли – 33 000 вакантных мест // </w:t>
      </w:r>
      <w:hyperlink r:id="rId10" w:tgtFrame="_blank" w:history="1">
        <w:r w:rsidRPr="00A32DA4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Day.ru</w:t>
        </w:r>
      </w:hyperlink>
      <w:r w:rsidRPr="00A32DA4">
        <w:rPr>
          <w:rFonts w:ascii="Times New Roman" w:hAnsi="Times New Roman" w:cs="Times New Roman"/>
          <w:color w:val="000000" w:themeColor="text1"/>
          <w:sz w:val="24"/>
          <w:szCs w:val="24"/>
        </w:rPr>
        <w:t>. 2026. URL: </w:t>
      </w:r>
      <w:hyperlink r:id="rId11" w:tgtFrame="_blank" w:history="1">
        <w:r w:rsidRPr="00A32DA4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https://day.ru/novaya-moskva/v-moskve-sokhranyaetsya-vysokiy-spros-na-sotrudnikov-v-sfere-gostepriimstva_id13940_a904</w:t>
        </w:r>
      </w:hyperlink>
    </w:p>
    <w:p w14:paraId="4BE20D04" w14:textId="62150759" w:rsidR="00A32DA4" w:rsidRPr="00A32DA4" w:rsidRDefault="00A32DA4" w:rsidP="0021491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2D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Жукова М.А., Жуков В.А. Повышение лояльности персонала гостиничных предприятий на основе использования программ привилегий для сотрудников // INFRA-M </w:t>
      </w:r>
      <w:proofErr w:type="spellStart"/>
      <w:r w:rsidRPr="00A32DA4">
        <w:rPr>
          <w:rFonts w:ascii="Times New Roman" w:hAnsi="Times New Roman" w:cs="Times New Roman"/>
          <w:color w:val="000000" w:themeColor="text1"/>
          <w:sz w:val="24"/>
          <w:szCs w:val="24"/>
        </w:rPr>
        <w:t>Academic</w:t>
      </w:r>
      <w:proofErr w:type="spellEnd"/>
      <w:r w:rsidRPr="00A32D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32DA4">
        <w:rPr>
          <w:rFonts w:ascii="Times New Roman" w:hAnsi="Times New Roman" w:cs="Times New Roman"/>
          <w:color w:val="000000" w:themeColor="text1"/>
          <w:sz w:val="24"/>
          <w:szCs w:val="24"/>
        </w:rPr>
        <w:t>Publishing</w:t>
      </w:r>
      <w:proofErr w:type="spellEnd"/>
      <w:r w:rsidRPr="00A32DA4">
        <w:rPr>
          <w:rFonts w:ascii="Times New Roman" w:hAnsi="Times New Roman" w:cs="Times New Roman"/>
          <w:color w:val="000000" w:themeColor="text1"/>
          <w:sz w:val="24"/>
          <w:szCs w:val="24"/>
        </w:rPr>
        <w:t>. 2024. URL: </w:t>
      </w:r>
      <w:hyperlink r:id="rId12" w:tgtFrame="_blank" w:history="1">
        <w:r w:rsidRPr="00A32DA4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https://znanium.ru/catalog/product/2124526</w:t>
        </w:r>
      </w:hyperlink>
    </w:p>
    <w:p w14:paraId="3A1A2F11" w14:textId="219AA223" w:rsidR="00A32DA4" w:rsidRPr="00A32DA4" w:rsidRDefault="00A32DA4" w:rsidP="0021491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2DA4">
        <w:rPr>
          <w:rFonts w:ascii="Times New Roman" w:hAnsi="Times New Roman" w:cs="Times New Roman"/>
          <w:color w:val="000000" w:themeColor="text1"/>
          <w:sz w:val="24"/>
          <w:szCs w:val="24"/>
        </w:rPr>
        <w:t>Кадровый голод // TTG-Russia. 2025. URL: </w:t>
      </w:r>
      <w:hyperlink r:id="rId13" w:tgtFrame="_blank" w:history="1">
        <w:r w:rsidRPr="00A32DA4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https://www.ttg-russia.ru/news/kadrovyy-golod.html</w:t>
        </w:r>
      </w:hyperlink>
    </w:p>
    <w:p w14:paraId="198C6623" w14:textId="4304C1B5" w:rsidR="00A32DA4" w:rsidRPr="00A32DA4" w:rsidRDefault="00A32DA4" w:rsidP="0021491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2D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Круглов В.Н. Комплексный анализ модели совершенствования кадрового потенциала в сфере гостеприимства ООО «На </w:t>
      </w:r>
      <w:proofErr w:type="spellStart"/>
      <w:r w:rsidRPr="00A32DA4">
        <w:rPr>
          <w:rFonts w:ascii="Times New Roman" w:hAnsi="Times New Roman" w:cs="Times New Roman"/>
          <w:color w:val="000000" w:themeColor="text1"/>
          <w:sz w:val="24"/>
          <w:szCs w:val="24"/>
        </w:rPr>
        <w:t>Сухаревке</w:t>
      </w:r>
      <w:proofErr w:type="spellEnd"/>
      <w:r w:rsidRPr="00A32DA4">
        <w:rPr>
          <w:rFonts w:ascii="Times New Roman" w:hAnsi="Times New Roman" w:cs="Times New Roman"/>
          <w:color w:val="000000" w:themeColor="text1"/>
          <w:sz w:val="24"/>
          <w:szCs w:val="24"/>
        </w:rPr>
        <w:t>» (г. Москва) // Управленческий учет. 2024. № 9. С. 155-162. URL: </w:t>
      </w:r>
      <w:hyperlink r:id="rId14" w:tgtFrame="_blank" w:history="1">
        <w:r w:rsidRPr="00A32DA4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http://www.uprav-uchet.ru/index.php/journal/article/view/4572</w:t>
        </w:r>
      </w:hyperlink>
    </w:p>
    <w:p w14:paraId="3A3700B7" w14:textId="64BDAF47" w:rsidR="00A32DA4" w:rsidRPr="00A32DA4" w:rsidRDefault="00A32DA4" w:rsidP="0021491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2DA4">
        <w:rPr>
          <w:rFonts w:ascii="Times New Roman" w:hAnsi="Times New Roman" w:cs="Times New Roman"/>
          <w:color w:val="000000" w:themeColor="text1"/>
          <w:sz w:val="24"/>
          <w:szCs w:val="24"/>
        </w:rPr>
        <w:t>РСТ: около 300 тыс. специалистов потребуются туриндустрии к 2030 году // Интерфакс. 2025. URL: </w:t>
      </w:r>
      <w:hyperlink r:id="rId15" w:tgtFrame="_blank" w:history="1">
        <w:r w:rsidRPr="00A32DA4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https://www.interfax-russia.ru/tourism/news/rst-okolo-300-tys-specialistov-potrebuyutsya-turindustrii-k-2030-godu</w:t>
        </w:r>
      </w:hyperlink>
    </w:p>
    <w:p w14:paraId="6B234891" w14:textId="2A254303" w:rsidR="00A32DA4" w:rsidRPr="00A32DA4" w:rsidRDefault="00A32DA4" w:rsidP="0021491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2D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Спрос на временных сотрудников в гостиничном бизнесе вырос в 2 раза // </w:t>
      </w:r>
      <w:proofErr w:type="spellStart"/>
      <w:r w:rsidRPr="00A32DA4">
        <w:rPr>
          <w:rFonts w:ascii="Times New Roman" w:hAnsi="Times New Roman" w:cs="Times New Roman"/>
          <w:color w:val="000000" w:themeColor="text1"/>
          <w:sz w:val="24"/>
          <w:szCs w:val="24"/>
        </w:rPr>
        <w:t>TourDom</w:t>
      </w:r>
      <w:proofErr w:type="spellEnd"/>
      <w:r w:rsidRPr="00A32DA4">
        <w:rPr>
          <w:rFonts w:ascii="Times New Roman" w:hAnsi="Times New Roman" w:cs="Times New Roman"/>
          <w:color w:val="000000" w:themeColor="text1"/>
          <w:sz w:val="24"/>
          <w:szCs w:val="24"/>
        </w:rPr>
        <w:t>. 2026. URL: </w:t>
      </w:r>
      <w:hyperlink r:id="rId16" w:tgtFrame="_blank" w:history="1">
        <w:r w:rsidRPr="00A32DA4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https://www.tourdom.ru/</w:t>
        </w:r>
      </w:hyperlink>
    </w:p>
    <w:p w14:paraId="122A5B0E" w14:textId="08168F3D" w:rsidR="00C42D36" w:rsidRPr="0017591A" w:rsidRDefault="00A32DA4" w:rsidP="0021491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2DA4">
        <w:rPr>
          <w:rFonts w:ascii="Times New Roman" w:hAnsi="Times New Roman" w:cs="Times New Roman"/>
          <w:color w:val="000000" w:themeColor="text1"/>
          <w:sz w:val="24"/>
          <w:szCs w:val="24"/>
        </w:rPr>
        <w:t>«Такой работой можно гордиться» // Коммерсантъ. 2025.</w:t>
      </w:r>
      <w:r w:rsidR="001075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32DA4">
        <w:rPr>
          <w:rFonts w:ascii="Times New Roman" w:hAnsi="Times New Roman" w:cs="Times New Roman"/>
          <w:color w:val="000000" w:themeColor="text1"/>
          <w:sz w:val="24"/>
          <w:szCs w:val="24"/>
        </w:rPr>
        <w:t>URL: </w:t>
      </w:r>
      <w:r w:rsidR="007F1D99" w:rsidRPr="007F1D99">
        <w:rPr>
          <w:rFonts w:ascii="Times New Roman" w:hAnsi="Times New Roman" w:cs="Times New Roman"/>
          <w:sz w:val="24"/>
          <w:szCs w:val="24"/>
        </w:rPr>
        <w:t>https://www.kommersant.ru/doc/7795774</w:t>
      </w:r>
    </w:p>
    <w:sectPr w:rsidR="00C42D36" w:rsidRPr="0017591A" w:rsidSect="00214914">
      <w:headerReference w:type="default" r:id="rId17"/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F6A6DF" w14:textId="77777777" w:rsidR="00F9359A" w:rsidRDefault="00F9359A" w:rsidP="00214914">
      <w:pPr>
        <w:spacing w:after="0" w:line="240" w:lineRule="auto"/>
      </w:pPr>
      <w:r>
        <w:separator/>
      </w:r>
    </w:p>
  </w:endnote>
  <w:endnote w:type="continuationSeparator" w:id="0">
    <w:p w14:paraId="6E9A5547" w14:textId="77777777" w:rsidR="00F9359A" w:rsidRDefault="00F9359A" w:rsidP="00214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1CFC27" w14:textId="77777777" w:rsidR="00F9359A" w:rsidRDefault="00F9359A" w:rsidP="00214914">
      <w:pPr>
        <w:spacing w:after="0" w:line="240" w:lineRule="auto"/>
      </w:pPr>
      <w:r>
        <w:separator/>
      </w:r>
    </w:p>
  </w:footnote>
  <w:footnote w:type="continuationSeparator" w:id="0">
    <w:p w14:paraId="56963578" w14:textId="77777777" w:rsidR="00F9359A" w:rsidRDefault="00F9359A" w:rsidP="002149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895A80" w14:textId="77777777" w:rsidR="00214914" w:rsidRPr="00C1596C" w:rsidRDefault="00214914" w:rsidP="00214914">
    <w:pPr>
      <w:tabs>
        <w:tab w:val="left" w:pos="5670"/>
      </w:tabs>
      <w:spacing w:after="120" w:line="240" w:lineRule="auto"/>
      <w:rPr>
        <w:rFonts w:ascii="Times New Roman" w:eastAsia="Aptos" w:hAnsi="Times New Roman" w:cs="Times New Roman"/>
        <w:i/>
        <w:iCs/>
      </w:rPr>
    </w:pPr>
    <w:r w:rsidRPr="00901BE9">
      <w:rPr>
        <w:rFonts w:ascii="Times New Roman" w:eastAsia="Aptos" w:hAnsi="Times New Roman" w:cs="Times New Roman"/>
        <w:i/>
        <w:iCs/>
      </w:rPr>
      <w:t>Конференция «Ломоносов» 2026</w:t>
    </w:r>
  </w:p>
  <w:p w14:paraId="492280A2" w14:textId="77777777" w:rsidR="00214914" w:rsidRDefault="00214914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77348"/>
    <w:multiLevelType w:val="multilevel"/>
    <w:tmpl w:val="AF6C6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40156A"/>
    <w:multiLevelType w:val="multilevel"/>
    <w:tmpl w:val="8918E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986927"/>
    <w:multiLevelType w:val="multilevel"/>
    <w:tmpl w:val="7034D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8D3AF8"/>
    <w:multiLevelType w:val="multilevel"/>
    <w:tmpl w:val="F3825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B34AE8"/>
    <w:multiLevelType w:val="multilevel"/>
    <w:tmpl w:val="D15C3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1237C7"/>
    <w:multiLevelType w:val="hybridMultilevel"/>
    <w:tmpl w:val="F9FAA3BC"/>
    <w:lvl w:ilvl="0" w:tplc="0419000F">
      <w:start w:val="1"/>
      <w:numFmt w:val="decimal"/>
      <w:lvlText w:val="%1."/>
      <w:lvlJc w:val="left"/>
      <w:pPr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6" w15:restartNumberingAfterBreak="0">
    <w:nsid w:val="417A2DF2"/>
    <w:multiLevelType w:val="multilevel"/>
    <w:tmpl w:val="C2140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3A3DDA"/>
    <w:multiLevelType w:val="hybridMultilevel"/>
    <w:tmpl w:val="04B05294"/>
    <w:lvl w:ilvl="0" w:tplc="0419000F">
      <w:start w:val="1"/>
      <w:numFmt w:val="decimal"/>
      <w:lvlText w:val="%1."/>
      <w:lvlJc w:val="left"/>
      <w:pPr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8" w15:restartNumberingAfterBreak="0">
    <w:nsid w:val="70FA021C"/>
    <w:multiLevelType w:val="multilevel"/>
    <w:tmpl w:val="4170DC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6F498B"/>
    <w:multiLevelType w:val="hybridMultilevel"/>
    <w:tmpl w:val="3A72A936"/>
    <w:lvl w:ilvl="0" w:tplc="0419000F">
      <w:start w:val="1"/>
      <w:numFmt w:val="decimal"/>
      <w:lvlText w:val="%1."/>
      <w:lvlJc w:val="left"/>
      <w:pPr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7"/>
  </w:num>
  <w:num w:numId="5">
    <w:abstractNumId w:val="6"/>
  </w:num>
  <w:num w:numId="6">
    <w:abstractNumId w:val="5"/>
  </w:num>
  <w:num w:numId="7">
    <w:abstractNumId w:val="0"/>
  </w:num>
  <w:num w:numId="8">
    <w:abstractNumId w:val="3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0DD"/>
    <w:rsid w:val="0004316B"/>
    <w:rsid w:val="00046429"/>
    <w:rsid w:val="00053E8D"/>
    <w:rsid w:val="00091CF3"/>
    <w:rsid w:val="000D5680"/>
    <w:rsid w:val="000E3BB0"/>
    <w:rsid w:val="001075A9"/>
    <w:rsid w:val="00114636"/>
    <w:rsid w:val="00136C90"/>
    <w:rsid w:val="0017591A"/>
    <w:rsid w:val="00191C5D"/>
    <w:rsid w:val="00214914"/>
    <w:rsid w:val="00221B20"/>
    <w:rsid w:val="00227310"/>
    <w:rsid w:val="00284BD6"/>
    <w:rsid w:val="00291692"/>
    <w:rsid w:val="002A79F1"/>
    <w:rsid w:val="002C061D"/>
    <w:rsid w:val="002E1651"/>
    <w:rsid w:val="002F7011"/>
    <w:rsid w:val="003143EE"/>
    <w:rsid w:val="0035267E"/>
    <w:rsid w:val="00384518"/>
    <w:rsid w:val="00452600"/>
    <w:rsid w:val="004550C4"/>
    <w:rsid w:val="00477146"/>
    <w:rsid w:val="004B7770"/>
    <w:rsid w:val="004C7A97"/>
    <w:rsid w:val="004F245F"/>
    <w:rsid w:val="00523470"/>
    <w:rsid w:val="00556578"/>
    <w:rsid w:val="0055678B"/>
    <w:rsid w:val="00606006"/>
    <w:rsid w:val="006371FC"/>
    <w:rsid w:val="006A3A6C"/>
    <w:rsid w:val="006B6BDF"/>
    <w:rsid w:val="006C78B8"/>
    <w:rsid w:val="00721A18"/>
    <w:rsid w:val="007C499F"/>
    <w:rsid w:val="007D0D5D"/>
    <w:rsid w:val="007D3300"/>
    <w:rsid w:val="007F1D99"/>
    <w:rsid w:val="007F646B"/>
    <w:rsid w:val="00822AC4"/>
    <w:rsid w:val="008B28AF"/>
    <w:rsid w:val="008B57DA"/>
    <w:rsid w:val="0096795B"/>
    <w:rsid w:val="0099184F"/>
    <w:rsid w:val="009C40B0"/>
    <w:rsid w:val="009E2061"/>
    <w:rsid w:val="009E318F"/>
    <w:rsid w:val="00A32A6D"/>
    <w:rsid w:val="00A32DA4"/>
    <w:rsid w:val="00A5305E"/>
    <w:rsid w:val="00A60C7B"/>
    <w:rsid w:val="00B37461"/>
    <w:rsid w:val="00B455F1"/>
    <w:rsid w:val="00B82D23"/>
    <w:rsid w:val="00BC1A99"/>
    <w:rsid w:val="00C42D36"/>
    <w:rsid w:val="00CE1A29"/>
    <w:rsid w:val="00D25921"/>
    <w:rsid w:val="00D315F6"/>
    <w:rsid w:val="00D3197D"/>
    <w:rsid w:val="00D53F4A"/>
    <w:rsid w:val="00DB50DD"/>
    <w:rsid w:val="00DC3F6C"/>
    <w:rsid w:val="00DF67A0"/>
    <w:rsid w:val="00E71AEE"/>
    <w:rsid w:val="00E96F22"/>
    <w:rsid w:val="00F22BF8"/>
    <w:rsid w:val="00F90A48"/>
    <w:rsid w:val="00F9359A"/>
    <w:rsid w:val="00FD6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CFCE4"/>
  <w15:chartTrackingRefBased/>
  <w15:docId w15:val="{45CD04BB-0462-4560-A342-85D9803A8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ЕФЕРАТ"/>
    <w:basedOn w:val="a4"/>
    <w:link w:val="a5"/>
    <w:qFormat/>
    <w:rsid w:val="00053E8D"/>
    <w:pPr>
      <w:spacing w:after="0" w:line="360" w:lineRule="auto"/>
      <w:ind w:firstLine="709"/>
      <w:jc w:val="both"/>
    </w:pPr>
    <w:rPr>
      <w:rFonts w:eastAsia="Times New Roman"/>
      <w:color w:val="000000" w:themeColor="text1"/>
      <w:sz w:val="28"/>
      <w:szCs w:val="28"/>
      <w:lang w:eastAsia="ru-RU"/>
    </w:rPr>
  </w:style>
  <w:style w:type="character" w:customStyle="1" w:styleId="a5">
    <w:name w:val="РЕФЕРАТ Знак"/>
    <w:basedOn w:val="a0"/>
    <w:link w:val="a3"/>
    <w:rsid w:val="00053E8D"/>
    <w:rPr>
      <w:rFonts w:ascii="Times New Roman" w:eastAsia="Times New Roman" w:hAnsi="Times New Roman" w:cs="Times New Roman"/>
      <w:color w:val="000000" w:themeColor="text1"/>
      <w:sz w:val="28"/>
      <w:szCs w:val="28"/>
      <w:lang w:eastAsia="ru-RU"/>
    </w:rPr>
  </w:style>
  <w:style w:type="paragraph" w:styleId="a4">
    <w:name w:val="Normal (Web)"/>
    <w:basedOn w:val="a"/>
    <w:uiPriority w:val="99"/>
    <w:semiHidden/>
    <w:unhideWhenUsed/>
    <w:rsid w:val="00053E8D"/>
    <w:rPr>
      <w:rFonts w:ascii="Times New Roman" w:hAnsi="Times New Roman" w:cs="Times New Roman"/>
      <w:sz w:val="24"/>
      <w:szCs w:val="24"/>
    </w:rPr>
  </w:style>
  <w:style w:type="paragraph" w:customStyle="1" w:styleId="ds-markdown-paragraph">
    <w:name w:val="ds-markdown-paragraph"/>
    <w:basedOn w:val="a"/>
    <w:rsid w:val="00967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96795B"/>
    <w:rPr>
      <w:color w:val="0000FF"/>
      <w:u w:val="single"/>
    </w:rPr>
  </w:style>
  <w:style w:type="character" w:styleId="a7">
    <w:name w:val="Strong"/>
    <w:basedOn w:val="a0"/>
    <w:uiPriority w:val="22"/>
    <w:qFormat/>
    <w:rsid w:val="0096795B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2E1651"/>
    <w:rPr>
      <w:color w:val="954F72" w:themeColor="followedHyperlink"/>
      <w:u w:val="single"/>
    </w:rPr>
  </w:style>
  <w:style w:type="paragraph" w:styleId="a9">
    <w:name w:val="List Paragraph"/>
    <w:basedOn w:val="a"/>
    <w:uiPriority w:val="34"/>
    <w:qFormat/>
    <w:rsid w:val="00114636"/>
    <w:pPr>
      <w:ind w:left="720"/>
      <w:contextualSpacing/>
    </w:pPr>
  </w:style>
  <w:style w:type="character" w:styleId="aa">
    <w:name w:val="Emphasis"/>
    <w:basedOn w:val="a0"/>
    <w:uiPriority w:val="20"/>
    <w:qFormat/>
    <w:rsid w:val="00091CF3"/>
    <w:rPr>
      <w:i/>
      <w:iCs/>
    </w:rPr>
  </w:style>
  <w:style w:type="character" w:styleId="ab">
    <w:name w:val="Unresolved Mention"/>
    <w:basedOn w:val="a0"/>
    <w:uiPriority w:val="99"/>
    <w:semiHidden/>
    <w:unhideWhenUsed/>
    <w:rsid w:val="006B6BDF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2149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14914"/>
  </w:style>
  <w:style w:type="paragraph" w:styleId="ae">
    <w:name w:val="footer"/>
    <w:basedOn w:val="a"/>
    <w:link w:val="af"/>
    <w:uiPriority w:val="99"/>
    <w:unhideWhenUsed/>
    <w:rsid w:val="002149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149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2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6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53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18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2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76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16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h.ru/" TargetMode="External"/><Relationship Id="rId13" Type="http://schemas.openxmlformats.org/officeDocument/2006/relationships/hyperlink" Target="https://www.ttg-russia.ru/news/kadrovyy-golod.htm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nastasiia.2003@inbox.ru" TargetMode="External"/><Relationship Id="rId12" Type="http://schemas.openxmlformats.org/officeDocument/2006/relationships/hyperlink" Target="https://znanium.ru/catalog/product/2124526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tourdom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ay.ru/novaya-moskva/v-moskve-sokhranyaetsya-vysokiy-spros-na-sotrudnikov-v-sfere-gostepriimstva_id13940_a90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interfax-russia.ru/tourism/news/rst-okolo-300-tys-specialistov-potrebuyutsya-turindustrii-k-2030-godu" TargetMode="External"/><Relationship Id="rId10" Type="http://schemas.openxmlformats.org/officeDocument/2006/relationships/hyperlink" Target="https://day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panor.ru/articles/analiz-programmy-adaptatsii-personala-v-gostinitse-doudle-tree-by-hilton-moscow-marina/114757.html" TargetMode="External"/><Relationship Id="rId14" Type="http://schemas.openxmlformats.org/officeDocument/2006/relationships/hyperlink" Target="http://www.uprav-uchet.ru/index.php/journal/article/view/45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1118</Words>
  <Characters>6377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LightKey.Store</Company>
  <LinksUpToDate>false</LinksUpToDate>
  <CharactersWithSpaces>7481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kirill131c@gmail.com</dc:creator>
  <cp:keywords/>
  <dc:description/>
  <cp:lastModifiedBy>Данилкина Мария</cp:lastModifiedBy>
  <cp:revision>6</cp:revision>
  <dcterms:created xsi:type="dcterms:W3CDTF">2026-04-29T10:33:00Z</dcterms:created>
  <dcterms:modified xsi:type="dcterms:W3CDTF">2026-05-05T08:25:00Z</dcterms:modified>
</cp:coreProperties>
</file>