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C0A4C" w14:textId="77777777" w:rsidR="0023697A" w:rsidRPr="008B7932" w:rsidRDefault="0023697A" w:rsidP="0023697A">
      <w:pPr>
        <w:spacing w:after="120"/>
        <w:jc w:val="right"/>
        <w:rPr>
          <w:rFonts w:eastAsia="Aptos"/>
          <w:kern w:val="2"/>
          <w14:ligatures w14:val="standardContextual"/>
        </w:rPr>
      </w:pPr>
      <w:r w:rsidRPr="008B7932">
        <w:rPr>
          <w:rFonts w:eastAsia="Aptos"/>
          <w:kern w:val="2"/>
          <w14:ligatures w14:val="standardContextual"/>
        </w:rPr>
        <w:t>Секция «Управление бизнесом и предпринимательство»</w:t>
      </w:r>
    </w:p>
    <w:p w14:paraId="5352A5A8" w14:textId="5D429599" w:rsidR="0023697A" w:rsidRPr="00B04A94" w:rsidRDefault="0023697A" w:rsidP="0023697A">
      <w:pPr>
        <w:spacing w:after="120"/>
        <w:jc w:val="center"/>
        <w:rPr>
          <w:rFonts w:eastAsia="Aptos"/>
          <w:b/>
          <w:bCs/>
          <w:kern w:val="2"/>
          <w14:ligatures w14:val="standardContextual"/>
        </w:rPr>
      </w:pPr>
      <w:r w:rsidRPr="0023697A">
        <w:rPr>
          <w:rFonts w:eastAsia="Aptos"/>
          <w:b/>
          <w:bCs/>
          <w:kern w:val="2"/>
          <w14:ligatures w14:val="standardContextual"/>
        </w:rPr>
        <w:t>Управление командами IT-проектов в условиях высокой неопределенности: проблемы и способы их преодоления</w:t>
      </w:r>
    </w:p>
    <w:p w14:paraId="24A9F5C6" w14:textId="77777777" w:rsidR="0023697A" w:rsidRPr="00B04A94" w:rsidRDefault="0023697A" w:rsidP="0023697A">
      <w:pPr>
        <w:spacing w:after="120"/>
        <w:jc w:val="center"/>
        <w:rPr>
          <w:rFonts w:eastAsia="Aptos"/>
          <w:b/>
          <w:bCs/>
          <w:kern w:val="2"/>
          <w14:ligatures w14:val="standardContextual"/>
        </w:rPr>
      </w:pPr>
      <w:r w:rsidRPr="00B04A94">
        <w:rPr>
          <w:rFonts w:eastAsia="Aptos"/>
          <w:b/>
          <w:bCs/>
          <w:kern w:val="2"/>
          <w14:ligatures w14:val="standardContextual"/>
        </w:rPr>
        <w:t xml:space="preserve">Научный руководитель – </w:t>
      </w:r>
      <w:proofErr w:type="spellStart"/>
      <w:r w:rsidRPr="00B04A94">
        <w:rPr>
          <w:rFonts w:eastAsia="Aptos"/>
          <w:b/>
          <w:bCs/>
          <w:kern w:val="2"/>
          <w14:ligatures w14:val="standardContextual"/>
        </w:rPr>
        <w:t>Миракян</w:t>
      </w:r>
      <w:proofErr w:type="spellEnd"/>
      <w:r w:rsidRPr="00B04A94">
        <w:rPr>
          <w:rFonts w:eastAsia="Aptos"/>
          <w:b/>
          <w:bCs/>
          <w:kern w:val="2"/>
          <w14:ligatures w14:val="standardContextual"/>
        </w:rPr>
        <w:t xml:space="preserve"> </w:t>
      </w:r>
      <w:proofErr w:type="spellStart"/>
      <w:r w:rsidRPr="00B04A94">
        <w:rPr>
          <w:rFonts w:eastAsia="Aptos"/>
          <w:b/>
          <w:bCs/>
          <w:kern w:val="2"/>
          <w14:ligatures w14:val="standardContextual"/>
        </w:rPr>
        <w:t>Аракся</w:t>
      </w:r>
      <w:proofErr w:type="spellEnd"/>
      <w:r w:rsidRPr="00B04A94">
        <w:rPr>
          <w:rFonts w:eastAsia="Aptos"/>
          <w:b/>
          <w:bCs/>
          <w:kern w:val="2"/>
          <w14:ligatures w14:val="standardContextual"/>
        </w:rPr>
        <w:t xml:space="preserve"> </w:t>
      </w:r>
      <w:proofErr w:type="spellStart"/>
      <w:r w:rsidRPr="00B04A94">
        <w:rPr>
          <w:rFonts w:eastAsia="Aptos"/>
          <w:b/>
          <w:bCs/>
          <w:kern w:val="2"/>
          <w14:ligatures w14:val="standardContextual"/>
        </w:rPr>
        <w:t>Григоревна</w:t>
      </w:r>
      <w:proofErr w:type="spellEnd"/>
    </w:p>
    <w:p w14:paraId="27467B4E" w14:textId="41513E90" w:rsidR="0023697A" w:rsidRPr="0023697A" w:rsidRDefault="0023697A" w:rsidP="0023697A">
      <w:pPr>
        <w:jc w:val="center"/>
        <w:rPr>
          <w:rFonts w:eastAsia="Aptos"/>
          <w:b/>
          <w:bCs/>
          <w:i/>
          <w:iCs/>
          <w:kern w:val="2"/>
          <w:lang w:val="ru-RU"/>
          <w14:ligatures w14:val="standardContextual"/>
        </w:rPr>
      </w:pPr>
      <w:proofErr w:type="spellStart"/>
      <w:r>
        <w:rPr>
          <w:rFonts w:eastAsia="Aptos"/>
          <w:b/>
          <w:bCs/>
          <w:i/>
          <w:iCs/>
          <w:kern w:val="2"/>
          <w:lang w:val="ru-RU"/>
          <w14:ligatures w14:val="standardContextual"/>
        </w:rPr>
        <w:t>Предыбайлова</w:t>
      </w:r>
      <w:proofErr w:type="spellEnd"/>
      <w:r w:rsidRPr="00B04A94">
        <w:rPr>
          <w:rFonts w:eastAsia="Aptos"/>
          <w:b/>
          <w:bCs/>
          <w:i/>
          <w:iCs/>
          <w:kern w:val="2"/>
          <w14:ligatures w14:val="standardContextual"/>
        </w:rPr>
        <w:t xml:space="preserve"> </w:t>
      </w:r>
      <w:r>
        <w:rPr>
          <w:rFonts w:eastAsia="Aptos"/>
          <w:b/>
          <w:bCs/>
          <w:i/>
          <w:iCs/>
          <w:kern w:val="2"/>
          <w:lang w:val="ru-RU"/>
          <w14:ligatures w14:val="standardContextual"/>
        </w:rPr>
        <w:t>Анна</w:t>
      </w:r>
      <w:r w:rsidRPr="00B04A94">
        <w:rPr>
          <w:rFonts w:eastAsia="Aptos"/>
          <w:b/>
          <w:bCs/>
          <w:i/>
          <w:iCs/>
          <w:kern w:val="2"/>
          <w14:ligatures w14:val="standardContextual"/>
        </w:rPr>
        <w:t xml:space="preserve"> </w:t>
      </w:r>
      <w:r>
        <w:rPr>
          <w:rFonts w:eastAsia="Aptos"/>
          <w:b/>
          <w:bCs/>
          <w:i/>
          <w:iCs/>
          <w:kern w:val="2"/>
          <w:lang w:val="ru-RU"/>
          <w14:ligatures w14:val="standardContextual"/>
        </w:rPr>
        <w:t>Павловна</w:t>
      </w:r>
    </w:p>
    <w:p w14:paraId="55F53906" w14:textId="1EEB913F" w:rsidR="0023697A" w:rsidRPr="0023697A" w:rsidRDefault="0023697A" w:rsidP="0023697A">
      <w:pPr>
        <w:jc w:val="center"/>
        <w:rPr>
          <w:rFonts w:eastAsia="Aptos"/>
          <w:i/>
          <w:iCs/>
          <w:kern w:val="2"/>
          <w:lang w:val="ru-RU"/>
          <w14:ligatures w14:val="standardContextual"/>
        </w:rPr>
      </w:pPr>
      <w:r>
        <w:rPr>
          <w:rFonts w:eastAsia="Aptos"/>
          <w:i/>
          <w:iCs/>
          <w:kern w:val="2"/>
          <w:lang w:val="ru-RU"/>
          <w14:ligatures w14:val="standardContextual"/>
        </w:rPr>
        <w:t>Студент (магистр)</w:t>
      </w:r>
    </w:p>
    <w:p w14:paraId="3B998547" w14:textId="77777777" w:rsidR="0023697A" w:rsidRPr="00B04A94" w:rsidRDefault="0023697A" w:rsidP="0023697A">
      <w:pPr>
        <w:jc w:val="center"/>
        <w:rPr>
          <w:rFonts w:eastAsia="Aptos"/>
          <w:kern w:val="2"/>
          <w14:ligatures w14:val="standardContextual"/>
        </w:rPr>
      </w:pPr>
      <w:r w:rsidRPr="00B04A94">
        <w:rPr>
          <w:rFonts w:eastAsia="Aptos"/>
          <w:kern w:val="2"/>
          <w14:ligatures w14:val="standardContextual"/>
        </w:rPr>
        <w:t xml:space="preserve">Московский государственный университет имени </w:t>
      </w:r>
      <w:proofErr w:type="spellStart"/>
      <w:r w:rsidRPr="00B04A94">
        <w:rPr>
          <w:rFonts w:eastAsia="Aptos"/>
          <w:kern w:val="2"/>
          <w14:ligatures w14:val="standardContextual"/>
        </w:rPr>
        <w:t>М.В.Ломоносова</w:t>
      </w:r>
      <w:proofErr w:type="spellEnd"/>
      <w:r w:rsidRPr="00B04A94">
        <w:rPr>
          <w:rFonts w:eastAsia="Aptos"/>
          <w:kern w:val="2"/>
          <w14:ligatures w14:val="standardContextual"/>
        </w:rPr>
        <w:t>, Экономический</w:t>
      </w:r>
    </w:p>
    <w:p w14:paraId="0B9AD66E" w14:textId="77777777" w:rsidR="0023697A" w:rsidRPr="00B04A94" w:rsidRDefault="0023697A" w:rsidP="0023697A">
      <w:pPr>
        <w:jc w:val="center"/>
        <w:rPr>
          <w:rFonts w:eastAsia="Aptos"/>
          <w:kern w:val="2"/>
          <w14:ligatures w14:val="standardContextual"/>
        </w:rPr>
      </w:pPr>
      <w:r w:rsidRPr="00B04A94">
        <w:rPr>
          <w:rFonts w:eastAsia="Aptos"/>
          <w:kern w:val="2"/>
          <w14:ligatures w14:val="standardContextual"/>
        </w:rPr>
        <w:t>факультет,</w:t>
      </w:r>
      <w:r>
        <w:rPr>
          <w:rFonts w:eastAsia="Aptos"/>
          <w:kern w:val="2"/>
          <w14:ligatures w14:val="standardContextual"/>
        </w:rPr>
        <w:t xml:space="preserve"> </w:t>
      </w:r>
      <w:r w:rsidRPr="00B04A94">
        <w:rPr>
          <w:rFonts w:eastAsia="Aptos"/>
          <w:kern w:val="2"/>
          <w14:ligatures w14:val="standardContextual"/>
        </w:rPr>
        <w:t>Москва, Россия</w:t>
      </w:r>
    </w:p>
    <w:p w14:paraId="4E20E113" w14:textId="5C415A99" w:rsidR="0023697A" w:rsidRPr="0023697A" w:rsidRDefault="0023697A" w:rsidP="0023697A">
      <w:pPr>
        <w:jc w:val="center"/>
        <w:rPr>
          <w:rFonts w:eastAsia="Aptos"/>
          <w:i/>
          <w:iCs/>
          <w:color w:val="467886"/>
          <w:u w:val="single"/>
          <w:lang w:val="en-US"/>
        </w:rPr>
      </w:pPr>
      <w:r w:rsidRPr="00B04A94">
        <w:rPr>
          <w:rFonts w:eastAsia="Aptos"/>
          <w:i/>
          <w:iCs/>
          <w:lang w:val="en-US"/>
        </w:rPr>
        <w:t>E</w:t>
      </w:r>
      <w:r w:rsidRPr="0023697A">
        <w:rPr>
          <w:rFonts w:eastAsia="Aptos"/>
          <w:i/>
          <w:iCs/>
          <w:lang w:val="en-US"/>
        </w:rPr>
        <w:t>-</w:t>
      </w:r>
      <w:r w:rsidRPr="00B04A94">
        <w:rPr>
          <w:rFonts w:eastAsia="Aptos"/>
          <w:i/>
          <w:iCs/>
          <w:lang w:val="en-US"/>
        </w:rPr>
        <w:t>mail</w:t>
      </w:r>
      <w:r w:rsidRPr="0023697A">
        <w:rPr>
          <w:rFonts w:eastAsia="Aptos"/>
          <w:i/>
          <w:iCs/>
          <w:lang w:val="en-US"/>
        </w:rPr>
        <w:t xml:space="preserve">: </w:t>
      </w:r>
      <w:r w:rsidRPr="0023697A">
        <w:rPr>
          <w:rFonts w:eastAsia="Aptos"/>
          <w:i/>
          <w:iCs/>
          <w:color w:val="467886"/>
          <w:u w:val="single"/>
          <w:lang w:val="en-US"/>
        </w:rPr>
        <w:t>an.predybailova@yandex.ru</w:t>
      </w:r>
      <w:bookmarkStart w:id="0" w:name="_GoBack"/>
      <w:bookmarkEnd w:id="0"/>
    </w:p>
    <w:p w14:paraId="00000004" w14:textId="77777777" w:rsidR="00F949EA" w:rsidRPr="0023697A" w:rsidRDefault="00F949EA">
      <w:pPr>
        <w:jc w:val="both"/>
        <w:rPr>
          <w:lang w:val="en-US"/>
        </w:rPr>
      </w:pPr>
    </w:p>
    <w:p w14:paraId="00000005" w14:textId="07D0B902" w:rsidR="00F949EA" w:rsidRDefault="0090096A">
      <w:pPr>
        <w:ind w:firstLine="708"/>
        <w:jc w:val="both"/>
      </w:pPr>
      <w:r>
        <w:rPr>
          <w:color w:val="0F1115"/>
          <w:highlight w:val="white"/>
        </w:rPr>
        <w:t xml:space="preserve">Современный IT-сектор характеризуется динамичностью изменений и высоким уровнем неопределенности: требования перманентно корректируются, технологии быстро устаревают, циклы разработки сокращаются. Согласно данным CHAOS </w:t>
      </w:r>
      <w:proofErr w:type="spellStart"/>
      <w:r>
        <w:rPr>
          <w:color w:val="0F1115"/>
          <w:highlight w:val="white"/>
        </w:rPr>
        <w:t>Report</w:t>
      </w:r>
      <w:proofErr w:type="spellEnd"/>
      <w:r>
        <w:rPr>
          <w:color w:val="0F1115"/>
          <w:highlight w:val="white"/>
        </w:rPr>
        <w:t>, значительная доля проектов не достигает успеха именно из-за проблем, связанных с командой (неподходящий состав, низкая вовлеченность, конфликты, неэффективное управление). Анализ литературы позволил выделить фундаментальные подходы, сформировавшиеся современное представление о команде IT-проекта.</w:t>
      </w:r>
      <w:r>
        <w:t xml:space="preserve"> При ретроспективном анализе было невозможно не обратить внимание на </w:t>
      </w:r>
      <w:r>
        <w:rPr>
          <w:color w:val="0F1115"/>
          <w:highlight w:val="white"/>
        </w:rPr>
        <w:t xml:space="preserve"> модель Кавасаки, где команда предстает в виде группы ярких и бесстрашных людей, ведомых лидером-визионером, также важный след в истории оставили </w:t>
      </w:r>
      <w:proofErr w:type="spellStart"/>
      <w:r>
        <w:rPr>
          <w:color w:val="0F1115"/>
          <w:highlight w:val="white"/>
        </w:rPr>
        <w:t>Демарко</w:t>
      </w:r>
      <w:proofErr w:type="spellEnd"/>
      <w:r>
        <w:rPr>
          <w:color w:val="0F1115"/>
          <w:highlight w:val="white"/>
        </w:rPr>
        <w:t xml:space="preserve"> и Листер с их концепцией кристаллизации группы в сплоченный коллектив, а также Каган, сделавший акцент на продуктовый подход и разделивший команды на наемников и миссионеров.  Важным для понимания как виденья команды, так и управления ею, является труд </w:t>
      </w:r>
      <w:proofErr w:type="spellStart"/>
      <w:r>
        <w:rPr>
          <w:color w:val="0F1115"/>
          <w:highlight w:val="white"/>
        </w:rPr>
        <w:t>Скелтона</w:t>
      </w:r>
      <w:proofErr w:type="spellEnd"/>
      <w:r>
        <w:rPr>
          <w:color w:val="0F1115"/>
          <w:highlight w:val="white"/>
        </w:rPr>
        <w:t xml:space="preserve"> и </w:t>
      </w:r>
      <w:proofErr w:type="spellStart"/>
      <w:r>
        <w:rPr>
          <w:color w:val="0F1115"/>
          <w:highlight w:val="white"/>
        </w:rPr>
        <w:t>Пэйса</w:t>
      </w:r>
      <w:proofErr w:type="spellEnd"/>
      <w:r>
        <w:rPr>
          <w:color w:val="0F1115"/>
          <w:highlight w:val="white"/>
        </w:rPr>
        <w:t xml:space="preserve">, в котором команда рассматривается как элемент организационной системы с жесткими границами и типами. С учетом современных тенденций отдельное место при анализе возможных способов совершенствования управления командой проекта занимает </w:t>
      </w:r>
      <w:proofErr w:type="spellStart"/>
      <w:r>
        <w:rPr>
          <w:color w:val="0F1115"/>
          <w:highlight w:val="white"/>
        </w:rPr>
        <w:t>скрам</w:t>
      </w:r>
      <w:proofErr w:type="spellEnd"/>
      <w:r>
        <w:rPr>
          <w:color w:val="0F1115"/>
          <w:highlight w:val="white"/>
        </w:rPr>
        <w:t>, одна из основных концепций гибких методологий. Каждый из авторов вносит важный вклад, но ни одна из работ не дает целостного представления, интегрирующего структурные, динамические и ценностные аспекты, что затрудняет диагностику реальных проблем.</w:t>
      </w:r>
    </w:p>
    <w:p w14:paraId="00000006" w14:textId="77777777" w:rsidR="00F949EA" w:rsidRDefault="0090096A">
      <w:pPr>
        <w:ind w:firstLine="708"/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 xml:space="preserve">На основе критического анализа существующих теоретических подходов были выявлены их ограничения и точки пересечения, предложено уточненное определение команды проекта в сфере информационных технологий и синтезирована авторская классификация команд. </w:t>
      </w:r>
    </w:p>
    <w:p w14:paraId="00000007" w14:textId="2AA78A6E" w:rsidR="00F949EA" w:rsidRDefault="0090096A">
      <w:pPr>
        <w:ind w:firstLine="708"/>
        <w:jc w:val="both"/>
      </w:pPr>
      <w:r>
        <w:rPr>
          <w:color w:val="0F1115"/>
          <w:highlight w:val="white"/>
        </w:rPr>
        <w:t xml:space="preserve">При анализе современных практик организации команд и управления ими в крупнейших IT-компаниях России (Яндекс, </w:t>
      </w:r>
      <w:proofErr w:type="spellStart"/>
      <w:r>
        <w:rPr>
          <w:color w:val="0F1115"/>
          <w:highlight w:val="white"/>
        </w:rPr>
        <w:t>Авито</w:t>
      </w:r>
      <w:proofErr w:type="spellEnd"/>
      <w:r>
        <w:rPr>
          <w:color w:val="0F1115"/>
          <w:highlight w:val="white"/>
        </w:rPr>
        <w:t>, Т-Банк) и мира становится очевидно, что между теоретическими моделями, разработанными в литературе и реальной практикой управления командами, существует устойчивый и не случайный разрыв. Эта разница проявляется в нескольких ключевых аспектах и выступает важным индикатором актуальности проведенного исследования.</w:t>
      </w:r>
    </w:p>
    <w:p w14:paraId="00000008" w14:textId="77777777" w:rsidR="00F949EA" w:rsidRDefault="0090096A">
      <w:pPr>
        <w:ind w:firstLine="708"/>
        <w:jc w:val="both"/>
        <w:rPr>
          <w:color w:val="0F1115"/>
        </w:rPr>
      </w:pPr>
      <w:r>
        <w:rPr>
          <w:color w:val="0F1115"/>
        </w:rPr>
        <w:t xml:space="preserve">Во-первых, теоретические модели предлагают нормативные идеалы: команды должны быть небольшими (5–9 человек), автономными, психологически безопасными, с четкими границами и низкой когнитивной нагрузкой. Однако, на практике эти идеалы сталкиваются с ресурсными ограничениями, целевыми темпами роста и иными факторами. Например, в компаниях с сотнями команд, таких как Т-Банк или Яндекс, поддержание высокой автономии каждой отдельной команды вступает в противоречие с необходимостью координации на уровне экосистемы, что приводит к неизбежной централизации функций и некому ограничению самоуправления. Теоретическая модель не всегда учитывает издержки координации, возникающие при масштабировании. </w:t>
      </w:r>
    </w:p>
    <w:p w14:paraId="00000009" w14:textId="77777777" w:rsidR="00F949EA" w:rsidRDefault="0090096A">
      <w:pPr>
        <w:ind w:firstLine="708"/>
        <w:jc w:val="both"/>
        <w:rPr>
          <w:color w:val="0F1115"/>
          <w:highlight w:val="white"/>
        </w:rPr>
      </w:pPr>
      <w:r>
        <w:rPr>
          <w:color w:val="0F1115"/>
        </w:rPr>
        <w:t xml:space="preserve">Во-вторых, ключевые теоретические конструкты, такие как психологическая безопасность и управление техническим долгом, повсеместно декларируются как </w:t>
      </w:r>
      <w:r>
        <w:rPr>
          <w:color w:val="0F1115"/>
        </w:rPr>
        <w:lastRenderedPageBreak/>
        <w:t xml:space="preserve">приоритетные, но их реализация на практике сталкивается с системными барьерами. Даже в компаниях с развитой организационной культурой и выстроенными в соответствии с какой-либо методологией процессами сохраняется разрыв между декларируемыми ценностями и реальным восприятием сотрудников. Данные опросов и интервью фиксируют, что действующие сотрудники часто замалчивают проблемы из-за страха последствий, а накопление технического </w:t>
      </w:r>
      <w:r>
        <w:rPr>
          <w:color w:val="0F1115"/>
          <w:highlight w:val="white"/>
        </w:rPr>
        <w:t>долга происходит под давлением бизнес-сроков, несмотря на теоретическую важность его системного погашения. (</w:t>
      </w:r>
      <w:proofErr w:type="spellStart"/>
      <w:r>
        <w:rPr>
          <w:color w:val="0F1115"/>
          <w:highlight w:val="white"/>
        </w:rPr>
        <w:t>Ларсон</w:t>
      </w:r>
      <w:proofErr w:type="spellEnd"/>
      <w:r>
        <w:rPr>
          <w:color w:val="0F1115"/>
          <w:highlight w:val="white"/>
        </w:rPr>
        <w:t>, 2019)</w:t>
      </w:r>
    </w:p>
    <w:p w14:paraId="0000000A" w14:textId="77777777" w:rsidR="00F949EA" w:rsidRDefault="0090096A">
      <w:pPr>
        <w:ind w:firstLine="708"/>
        <w:jc w:val="both"/>
      </w:pPr>
      <w:r>
        <w:rPr>
          <w:color w:val="0F1115"/>
          <w:highlight w:val="white"/>
        </w:rPr>
        <w:t xml:space="preserve">В-третьих, методологический плюрализм, существующий в теории, на практике оборачивается тем, что компании формально декларируют приверженность гибким методологиям, однако реально работающие процессы часто представляют собой гибридные, стихийно сложившиеся конструкции, которые не решают глубинных проблем, возникающих в команде </w:t>
      </w:r>
      <w:proofErr w:type="spellStart"/>
      <w:r>
        <w:rPr>
          <w:color w:val="0F1115"/>
          <w:highlight w:val="white"/>
        </w:rPr>
        <w:t>ит</w:t>
      </w:r>
      <w:proofErr w:type="spellEnd"/>
      <w:r>
        <w:rPr>
          <w:color w:val="0F1115"/>
          <w:highlight w:val="white"/>
        </w:rPr>
        <w:t>-проекта и при управлении ею.</w:t>
      </w:r>
    </w:p>
    <w:p w14:paraId="0000000B" w14:textId="77777777" w:rsidR="00F949EA" w:rsidRDefault="0090096A">
      <w:pPr>
        <w:jc w:val="both"/>
        <w:rPr>
          <w:color w:val="0F1115"/>
          <w:highlight w:val="white"/>
        </w:rPr>
      </w:pPr>
      <w:r>
        <w:rPr>
          <w:color w:val="0F1115"/>
          <w:highlight w:val="white"/>
        </w:rPr>
        <w:t xml:space="preserve">Для верификации теоретических положений проведено двухуровневое эмпирическое исследование. На микроуровне (на примере компании «Х») проведены глубинные интервью с сотрудниками, работавшими над одним проектом на протяжении более одного года. Ретроспективный анализ выявил ключевые проблемы: отсутствие чувства безопасности и свободы высказывания мнения о процессах, размытие зон ответственности, накопление технического долга при отсутствии ресурса на его погашение, подавление обратной связи, что постепенно привело к более безразличному отношению со стороны сотрудников. На макроуровне проведен опрос IT-специалистов из разных компаний, в результате чего получены данные о самых распространенных проблемах, возникающих при работе команд </w:t>
      </w:r>
      <w:proofErr w:type="spellStart"/>
      <w:r>
        <w:rPr>
          <w:color w:val="0F1115"/>
          <w:highlight w:val="white"/>
        </w:rPr>
        <w:t>ит</w:t>
      </w:r>
      <w:proofErr w:type="spellEnd"/>
      <w:r>
        <w:rPr>
          <w:color w:val="0F1115"/>
          <w:highlight w:val="white"/>
        </w:rPr>
        <w:t>-проектов: нечеткие приоритеты и зоны ответственности, постоянно меняющиеся требования, непрозрачные процессы, недостаток качественной обратной связи и иных. На основе синтеза теоретических положений и эмпирических данных предложен комплекс рекомендаций по преодолению систематически возникающих проблем. Важным фактором реализации предложенных идей выступает развитие управленческих компетенций руководителей в области диагностики состояния команды и последующего применения в управлении ею верной стратегии.</w:t>
      </w:r>
    </w:p>
    <w:p w14:paraId="0000000C" w14:textId="77777777" w:rsidR="00F949EA" w:rsidRDefault="0090096A">
      <w:pPr>
        <w:jc w:val="both"/>
      </w:pPr>
      <w:r>
        <w:rPr>
          <w:color w:val="0F1115"/>
          <w:highlight w:val="white"/>
        </w:rPr>
        <w:tab/>
        <w:t xml:space="preserve">Предложенные инструменты и стратегии преодоления проблем при управлении командами проектов позволяют руководителям IT-проектов более осознанно подходить к управлению командами, учитывая их текущее состояние и организационный контекст. Результаты исследования имеют практическую значимость для российских IT-компаний, стремящихся повысить эффективность командной работы в условиях высокой неопределенности. </w:t>
      </w:r>
    </w:p>
    <w:p w14:paraId="0000000D" w14:textId="77777777" w:rsidR="00F949EA" w:rsidRDefault="00F949EA">
      <w:pPr>
        <w:jc w:val="both"/>
      </w:pPr>
    </w:p>
    <w:p w14:paraId="0000000F" w14:textId="5F7EE6B8" w:rsidR="00F949EA" w:rsidRPr="002C4E62" w:rsidRDefault="0090096A" w:rsidP="001447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</w:rPr>
        <w:t>Источники и литература</w:t>
      </w:r>
    </w:p>
    <w:p w14:paraId="51D5931B" w14:textId="77777777" w:rsidR="002C4E62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90096A">
        <w:rPr>
          <w:color w:val="000000"/>
          <w:highlight w:val="white"/>
          <w:lang w:val="en-US"/>
        </w:rPr>
        <w:t>Cagan</w:t>
      </w:r>
      <w:proofErr w:type="spellEnd"/>
      <w:r w:rsidRPr="0090096A">
        <w:rPr>
          <w:color w:val="000000"/>
          <w:highlight w:val="white"/>
          <w:lang w:val="en-US"/>
        </w:rPr>
        <w:t>, M. (2017). </w:t>
      </w:r>
      <w:r w:rsidRPr="0090096A">
        <w:rPr>
          <w:color w:val="000000"/>
          <w:lang w:val="en-US"/>
        </w:rPr>
        <w:t>Inspired: How to create tech products customers love</w:t>
      </w:r>
      <w:r w:rsidRPr="0090096A">
        <w:rPr>
          <w:color w:val="000000"/>
          <w:highlight w:val="white"/>
          <w:lang w:val="en-US"/>
        </w:rPr>
        <w:t xml:space="preserve">. </w:t>
      </w:r>
      <w:proofErr w:type="spellStart"/>
      <w:r>
        <w:rPr>
          <w:color w:val="000000"/>
          <w:highlight w:val="white"/>
        </w:rPr>
        <w:t>John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Wiley</w:t>
      </w:r>
      <w:proofErr w:type="spellEnd"/>
      <w:r>
        <w:rPr>
          <w:color w:val="000000"/>
          <w:highlight w:val="white"/>
        </w:rPr>
        <w:t xml:space="preserve"> &amp; </w:t>
      </w:r>
      <w:proofErr w:type="spellStart"/>
      <w:r>
        <w:rPr>
          <w:color w:val="000000"/>
          <w:highlight w:val="white"/>
        </w:rPr>
        <w:t>Sons</w:t>
      </w:r>
      <w:proofErr w:type="spellEnd"/>
      <w:r>
        <w:rPr>
          <w:color w:val="000000"/>
          <w:highlight w:val="white"/>
        </w:rPr>
        <w:t>.</w:t>
      </w:r>
    </w:p>
    <w:p w14:paraId="097965D4" w14:textId="77777777" w:rsidR="002C4E62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0096A">
        <w:rPr>
          <w:color w:val="000000"/>
          <w:highlight w:val="white"/>
          <w:lang w:val="en-US"/>
        </w:rPr>
        <w:t>DeMarco, T., &amp; Lister, T. (1987). </w:t>
      </w:r>
      <w:r w:rsidRPr="0090096A">
        <w:rPr>
          <w:color w:val="000000"/>
          <w:lang w:val="en-US"/>
        </w:rPr>
        <w:t>Peopleware:</w:t>
      </w:r>
      <w:r w:rsidRPr="0090096A">
        <w:rPr>
          <w:lang w:val="en-US"/>
        </w:rPr>
        <w:t xml:space="preserve"> </w:t>
      </w:r>
      <w:r w:rsidRPr="0090096A">
        <w:rPr>
          <w:color w:val="000000"/>
          <w:lang w:val="en-US"/>
        </w:rPr>
        <w:t>productive projects and teams</w:t>
      </w:r>
      <w:r w:rsidRPr="0090096A">
        <w:rPr>
          <w:color w:val="000000"/>
          <w:highlight w:val="white"/>
          <w:lang w:val="en-US"/>
        </w:rPr>
        <w:t xml:space="preserve">. </w:t>
      </w:r>
      <w:proofErr w:type="spellStart"/>
      <w:r>
        <w:rPr>
          <w:color w:val="000000"/>
          <w:highlight w:val="white"/>
        </w:rPr>
        <w:t>Addison-Wesley</w:t>
      </w:r>
      <w:proofErr w:type="spellEnd"/>
      <w:r>
        <w:rPr>
          <w:color w:val="000000"/>
          <w:highlight w:val="white"/>
        </w:rPr>
        <w:t>.</w:t>
      </w:r>
    </w:p>
    <w:p w14:paraId="11442287" w14:textId="77777777" w:rsidR="002C4E62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wi5cvutm3dlm" w:colFirst="0" w:colLast="0"/>
      <w:bookmarkEnd w:id="1"/>
      <w:r w:rsidRPr="0090096A">
        <w:rPr>
          <w:color w:val="000000"/>
          <w:lang w:val="en-US"/>
        </w:rPr>
        <w:t xml:space="preserve">Kawasaki, G. (1989). The Macintosh way. </w:t>
      </w:r>
      <w:proofErr w:type="spellStart"/>
      <w:r>
        <w:rPr>
          <w:color w:val="000000"/>
        </w:rPr>
        <w:t>Scott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Foresman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Company</w:t>
      </w:r>
      <w:proofErr w:type="spellEnd"/>
      <w:r>
        <w:rPr>
          <w:color w:val="000000"/>
        </w:rPr>
        <w:t>.</w:t>
      </w:r>
    </w:p>
    <w:p w14:paraId="7DED4478" w14:textId="77777777" w:rsidR="002C4E62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0096A">
        <w:rPr>
          <w:color w:val="000000"/>
          <w:highlight w:val="white"/>
          <w:lang w:val="en-US"/>
        </w:rPr>
        <w:t>Larson, W. (2019). </w:t>
      </w:r>
      <w:r w:rsidRPr="0090096A">
        <w:rPr>
          <w:color w:val="000000"/>
          <w:lang w:val="en-US"/>
        </w:rPr>
        <w:t>An Elegant Puzzle: Systems of Engineering Management</w:t>
      </w:r>
      <w:r w:rsidRPr="0090096A">
        <w:rPr>
          <w:color w:val="000000"/>
          <w:highlight w:val="white"/>
          <w:lang w:val="en-US"/>
        </w:rPr>
        <w:t xml:space="preserve">. </w:t>
      </w:r>
      <w:proofErr w:type="spellStart"/>
      <w:r>
        <w:rPr>
          <w:color w:val="000000"/>
          <w:highlight w:val="white"/>
        </w:rPr>
        <w:t>Stripe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Press</w:t>
      </w:r>
      <w:proofErr w:type="spellEnd"/>
      <w:r>
        <w:rPr>
          <w:color w:val="000000"/>
          <w:highlight w:val="white"/>
        </w:rPr>
        <w:t>.</w:t>
      </w:r>
    </w:p>
    <w:p w14:paraId="1268AEFA" w14:textId="77777777" w:rsidR="002C4E62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90096A">
        <w:rPr>
          <w:color w:val="000000"/>
          <w:lang w:val="en-US"/>
        </w:rPr>
        <w:t>Schwaber</w:t>
      </w:r>
      <w:proofErr w:type="spellEnd"/>
      <w:r w:rsidRPr="0090096A">
        <w:rPr>
          <w:color w:val="000000"/>
          <w:lang w:val="en-US"/>
        </w:rPr>
        <w:t xml:space="preserve">, K., &amp; Sutherland, J. (2020). The 2020 Scrum guide. </w:t>
      </w:r>
      <w:proofErr w:type="spellStart"/>
      <w:r>
        <w:rPr>
          <w:color w:val="000000"/>
        </w:rPr>
        <w:t>Scrum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Guides</w:t>
      </w:r>
      <w:proofErr w:type="spellEnd"/>
      <w:r>
        <w:rPr>
          <w:color w:val="000000"/>
        </w:rPr>
        <w:t>.</w:t>
      </w:r>
    </w:p>
    <w:p w14:paraId="550D5834" w14:textId="77777777" w:rsidR="002C4E62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0096A">
        <w:rPr>
          <w:color w:val="000000"/>
          <w:lang w:val="en-US"/>
        </w:rPr>
        <w:t xml:space="preserve">Skelton, M., &amp; </w:t>
      </w:r>
      <w:proofErr w:type="spellStart"/>
      <w:r w:rsidRPr="0090096A">
        <w:rPr>
          <w:color w:val="000000"/>
          <w:lang w:val="en-US"/>
        </w:rPr>
        <w:t>Pais</w:t>
      </w:r>
      <w:proofErr w:type="spellEnd"/>
      <w:r w:rsidRPr="0090096A">
        <w:rPr>
          <w:color w:val="000000"/>
          <w:lang w:val="en-US"/>
        </w:rPr>
        <w:t xml:space="preserve">, M. (2019). Team topologies: Organizing business and technology teams for fast flow. </w:t>
      </w:r>
      <w:r>
        <w:rPr>
          <w:color w:val="000000"/>
        </w:rPr>
        <w:t xml:space="preserve">IT </w:t>
      </w:r>
      <w:proofErr w:type="spellStart"/>
      <w:r>
        <w:rPr>
          <w:color w:val="000000"/>
        </w:rPr>
        <w:t>Revolution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</w:t>
      </w:r>
      <w:proofErr w:type="spellEnd"/>
      <w:r>
        <w:rPr>
          <w:color w:val="000000"/>
        </w:rPr>
        <w:t>.</w:t>
      </w:r>
    </w:p>
    <w:p w14:paraId="7BFDA33F" w14:textId="77777777" w:rsidR="002C4E62" w:rsidRPr="0090096A" w:rsidRDefault="002C4E62" w:rsidP="009009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n-US"/>
        </w:rPr>
      </w:pPr>
      <w:r w:rsidRPr="0090096A">
        <w:rPr>
          <w:color w:val="000000"/>
          <w:lang w:val="en-US"/>
        </w:rPr>
        <w:t>Standish Group. (2020). </w:t>
      </w:r>
      <w:r w:rsidRPr="0090096A">
        <w:rPr>
          <w:i/>
          <w:iCs/>
          <w:color w:val="000000"/>
          <w:lang w:val="en-US"/>
        </w:rPr>
        <w:t>CHAOS Report 2020</w:t>
      </w:r>
      <w:r w:rsidRPr="0090096A">
        <w:rPr>
          <w:color w:val="000000"/>
          <w:lang w:val="en-US"/>
        </w:rPr>
        <w:t>. Boston: Standish Group International.</w:t>
      </w:r>
    </w:p>
    <w:p w14:paraId="00000017" w14:textId="77777777" w:rsidR="00F949EA" w:rsidRPr="0090096A" w:rsidRDefault="00F949E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lang w:val="en-US"/>
        </w:rPr>
      </w:pPr>
    </w:p>
    <w:p w14:paraId="00000018" w14:textId="77777777" w:rsidR="00F949EA" w:rsidRPr="0090096A" w:rsidRDefault="00F949EA">
      <w:pPr>
        <w:jc w:val="both"/>
        <w:rPr>
          <w:lang w:val="en-US"/>
        </w:rPr>
      </w:pPr>
    </w:p>
    <w:p w14:paraId="00000019" w14:textId="77777777" w:rsidR="00F949EA" w:rsidRPr="0090096A" w:rsidRDefault="00F949EA">
      <w:pPr>
        <w:jc w:val="both"/>
        <w:rPr>
          <w:lang w:val="en-US"/>
        </w:rPr>
      </w:pPr>
    </w:p>
    <w:sectPr w:rsidR="00F949EA" w:rsidRPr="0090096A" w:rsidSect="0090096A">
      <w:headerReference w:type="default" r:id="rId8"/>
      <w:pgSz w:w="11900" w:h="16840"/>
      <w:pgMar w:top="1134" w:right="1361" w:bottom="1134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7A6CA" w14:textId="77777777" w:rsidR="0023697A" w:rsidRDefault="0023697A" w:rsidP="0023697A">
      <w:r>
        <w:separator/>
      </w:r>
    </w:p>
  </w:endnote>
  <w:endnote w:type="continuationSeparator" w:id="0">
    <w:p w14:paraId="02639227" w14:textId="77777777" w:rsidR="0023697A" w:rsidRDefault="0023697A" w:rsidP="0023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86AFFC8-7504-4393-98E3-CC1C1361C885}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2" w:fontKey="{78F19F9F-FDF6-4B97-8D99-9DCCEC416BE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42403B3-3CB4-41BE-8CFD-E0D70B040E57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7E05612F-51A6-4D1F-910E-139D3C65C9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9A75C" w14:textId="77777777" w:rsidR="0023697A" w:rsidRDefault="0023697A" w:rsidP="0023697A">
      <w:r>
        <w:separator/>
      </w:r>
    </w:p>
  </w:footnote>
  <w:footnote w:type="continuationSeparator" w:id="0">
    <w:p w14:paraId="531BFC4E" w14:textId="77777777" w:rsidR="0023697A" w:rsidRDefault="0023697A" w:rsidP="0023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DADA6" w14:textId="734B9C5B" w:rsidR="0023697A" w:rsidRPr="0023697A" w:rsidRDefault="0023697A" w:rsidP="0023697A">
    <w:pPr>
      <w:tabs>
        <w:tab w:val="left" w:pos="5670"/>
      </w:tabs>
      <w:spacing w:after="120"/>
      <w:rPr>
        <w:rFonts w:eastAsia="Aptos"/>
        <w:i/>
        <w:iCs/>
      </w:rPr>
    </w:pPr>
    <w:r w:rsidRPr="00901BE9">
      <w:rPr>
        <w:rFonts w:eastAsia="Aptos"/>
        <w:i/>
        <w:iCs/>
      </w:rPr>
      <w:t>Конференция «Ломоносов»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30F87"/>
    <w:multiLevelType w:val="multilevel"/>
    <w:tmpl w:val="C36210F6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93B23"/>
    <w:multiLevelType w:val="multilevel"/>
    <w:tmpl w:val="CD18860E"/>
    <w:lvl w:ilvl="0">
      <w:start w:val="1"/>
      <w:numFmt w:val="decimal"/>
      <w:lvlText w:val="%1."/>
      <w:lvlJc w:val="left"/>
      <w:pPr>
        <w:ind w:left="720" w:hanging="360"/>
      </w:pPr>
      <w:rPr>
        <w:rFonts w:ascii="-webkit-standard" w:eastAsia="-webkit-standard" w:hAnsi="-webkit-standard" w:cs="-webkit-standard"/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9EA"/>
    <w:rsid w:val="0014474E"/>
    <w:rsid w:val="0023697A"/>
    <w:rsid w:val="002C4E62"/>
    <w:rsid w:val="0090096A"/>
    <w:rsid w:val="00F9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B9E56"/>
  <w15:docId w15:val="{E6944AA4-470B-473E-A058-9DDE1980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s-markdown-paragraph">
    <w:name w:val="ds-markdown-paragraph"/>
    <w:rsid w:val="005268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268F8"/>
  </w:style>
  <w:style w:type="paragraph" w:styleId="a4">
    <w:name w:val="List Paragraph"/>
    <w:uiPriority w:val="34"/>
    <w:qFormat/>
    <w:rsid w:val="005C59F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rsid w:val="005C59FC"/>
    <w:rPr>
      <w:rFonts w:ascii="Helvetica" w:hAnsi="Helvetica"/>
      <w:color w:val="000000"/>
      <w:sz w:val="18"/>
      <w:szCs w:val="18"/>
    </w:rPr>
  </w:style>
  <w:style w:type="character" w:styleId="a5">
    <w:name w:val="Emphasis"/>
    <w:basedOn w:val="a0"/>
    <w:uiPriority w:val="20"/>
    <w:qFormat/>
    <w:rsid w:val="005C59FC"/>
    <w:rPr>
      <w:i/>
      <w:i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2369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97A"/>
  </w:style>
  <w:style w:type="paragraph" w:styleId="a9">
    <w:name w:val="footer"/>
    <w:basedOn w:val="a"/>
    <w:link w:val="aa"/>
    <w:uiPriority w:val="99"/>
    <w:unhideWhenUsed/>
    <w:rsid w:val="002369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10tQG6ONTqGYep1Ax791X/RFMA==">CgMxLjAyDmgud2k1Y3Z1dG0zZGxtOAByITFJSk0zblNQbkYzLWVDanc4TzFXSjhpYlR6QWpQQ19YMw==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предыбайлова</dc:creator>
  <cp:lastModifiedBy>Данилкина Мария</cp:lastModifiedBy>
  <cp:revision>5</cp:revision>
  <dcterms:created xsi:type="dcterms:W3CDTF">2026-03-02T19:11:00Z</dcterms:created>
  <dcterms:modified xsi:type="dcterms:W3CDTF">2026-07-01T11:34:00Z</dcterms:modified>
</cp:coreProperties>
</file>