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6D553" w14:textId="77777777" w:rsidR="001F6CCE" w:rsidRDefault="001F6CCE" w:rsidP="001F6CCE">
      <w:pPr>
        <w:spacing w:after="120"/>
        <w:jc w:val="right"/>
        <w:rPr>
          <w:rFonts w:eastAsia="Aptos"/>
          <w:sz w:val="24"/>
          <w:szCs w:val="24"/>
        </w:rPr>
      </w:pPr>
      <w:bookmarkStart w:id="0" w:name="_Hlk228266548"/>
    </w:p>
    <w:p w14:paraId="0536E28C" w14:textId="391811FC" w:rsidR="001F6CCE" w:rsidRPr="001F6CCE" w:rsidRDefault="001F6CCE" w:rsidP="001F6CCE">
      <w:pPr>
        <w:spacing w:after="120"/>
        <w:jc w:val="right"/>
        <w:rPr>
          <w:rFonts w:eastAsia="Aptos"/>
          <w:sz w:val="24"/>
          <w:szCs w:val="24"/>
        </w:rPr>
      </w:pPr>
      <w:r w:rsidRPr="001F6CCE">
        <w:rPr>
          <w:rFonts w:eastAsia="Aptos"/>
          <w:sz w:val="24"/>
          <w:szCs w:val="24"/>
        </w:rPr>
        <w:t>Секция «Управление бизнесом и предпринимательство»</w:t>
      </w:r>
      <w:bookmarkEnd w:id="0"/>
    </w:p>
    <w:p w14:paraId="2EA62696" w14:textId="77777777" w:rsidR="00150304" w:rsidRPr="00150304" w:rsidRDefault="00150304" w:rsidP="00150304">
      <w:pPr>
        <w:spacing w:after="120"/>
        <w:jc w:val="center"/>
        <w:rPr>
          <w:rFonts w:eastAsia="Aptos"/>
          <w:b/>
          <w:bCs/>
          <w:sz w:val="24"/>
          <w:szCs w:val="24"/>
        </w:rPr>
      </w:pPr>
      <w:r w:rsidRPr="00150304">
        <w:rPr>
          <w:rFonts w:eastAsia="Aptos"/>
          <w:b/>
          <w:bCs/>
          <w:sz w:val="24"/>
          <w:szCs w:val="24"/>
        </w:rPr>
        <w:t>Разработка модели управления оборотным капиталом как фактором роста ликвидности и рентабельности ООО «</w:t>
      </w:r>
      <w:proofErr w:type="spellStart"/>
      <w:r w:rsidRPr="00150304">
        <w:rPr>
          <w:rFonts w:eastAsia="Aptos"/>
          <w:b/>
          <w:bCs/>
          <w:sz w:val="24"/>
          <w:szCs w:val="24"/>
        </w:rPr>
        <w:t>Ростпром</w:t>
      </w:r>
      <w:proofErr w:type="spellEnd"/>
      <w:r w:rsidRPr="00150304">
        <w:rPr>
          <w:rFonts w:eastAsia="Aptos"/>
          <w:b/>
          <w:bCs/>
          <w:sz w:val="24"/>
          <w:szCs w:val="24"/>
        </w:rPr>
        <w:t>»</w:t>
      </w:r>
    </w:p>
    <w:p w14:paraId="37230D94" w14:textId="77777777" w:rsidR="00150304" w:rsidRPr="00150304" w:rsidRDefault="00150304" w:rsidP="00150304">
      <w:pPr>
        <w:spacing w:after="120"/>
        <w:jc w:val="center"/>
        <w:rPr>
          <w:rFonts w:eastAsia="Aptos"/>
          <w:b/>
          <w:bCs/>
          <w:sz w:val="24"/>
          <w:szCs w:val="24"/>
        </w:rPr>
      </w:pPr>
      <w:r w:rsidRPr="00150304">
        <w:rPr>
          <w:rFonts w:eastAsia="Aptos"/>
          <w:b/>
          <w:bCs/>
          <w:sz w:val="24"/>
          <w:szCs w:val="24"/>
        </w:rPr>
        <w:t>Научный руководитель – Дурасова Алина Александровна</w:t>
      </w:r>
    </w:p>
    <w:p w14:paraId="56CCAC5F" w14:textId="77777777" w:rsidR="00150304" w:rsidRPr="00150304" w:rsidRDefault="00150304" w:rsidP="00150304">
      <w:pPr>
        <w:jc w:val="center"/>
        <w:rPr>
          <w:rFonts w:eastAsia="Aptos"/>
          <w:b/>
          <w:bCs/>
          <w:i/>
          <w:iCs/>
          <w:sz w:val="24"/>
          <w:szCs w:val="24"/>
        </w:rPr>
      </w:pPr>
      <w:r w:rsidRPr="00150304">
        <w:rPr>
          <w:rFonts w:eastAsia="Aptos"/>
          <w:b/>
          <w:bCs/>
          <w:i/>
          <w:iCs/>
          <w:sz w:val="24"/>
          <w:szCs w:val="24"/>
        </w:rPr>
        <w:t>Худякова Анастасия Витальевна</w:t>
      </w:r>
    </w:p>
    <w:p w14:paraId="00000004" w14:textId="428AF3C8" w:rsidR="00C17780" w:rsidRPr="001144EC" w:rsidRDefault="001F6CCE" w:rsidP="001144EC">
      <w:pPr>
        <w:jc w:val="center"/>
        <w:rPr>
          <w:i/>
          <w:sz w:val="24"/>
          <w:szCs w:val="24"/>
        </w:rPr>
      </w:pPr>
      <w:r w:rsidRPr="001F6CCE">
        <w:rPr>
          <w:i/>
          <w:sz w:val="24"/>
          <w:szCs w:val="24"/>
        </w:rPr>
        <w:t>Студент (бакалавр)</w:t>
      </w:r>
    </w:p>
    <w:p w14:paraId="00000006" w14:textId="7F1B60C2" w:rsidR="00C17780" w:rsidRDefault="002A5D8A" w:rsidP="001144EC">
      <w:pPr>
        <w:jc w:val="center"/>
      </w:pPr>
      <w:r w:rsidRPr="001144EC">
        <w:rPr>
          <w:iCs/>
          <w:sz w:val="24"/>
          <w:szCs w:val="24"/>
        </w:rPr>
        <w:t>Национальный исследовательский университет «Высшая школа экономики»,</w:t>
      </w:r>
      <w:r w:rsidR="001144EC">
        <w:rPr>
          <w:iCs/>
          <w:sz w:val="24"/>
          <w:szCs w:val="24"/>
        </w:rPr>
        <w:t xml:space="preserve"> Высшая школа </w:t>
      </w:r>
      <w:r w:rsidR="00E927FD">
        <w:rPr>
          <w:iCs/>
          <w:sz w:val="24"/>
          <w:szCs w:val="24"/>
        </w:rPr>
        <w:t>бизнеса</w:t>
      </w:r>
      <w:r w:rsidR="00E927FD">
        <w:t xml:space="preserve">, </w:t>
      </w:r>
      <w:r w:rsidR="00E927FD">
        <w:rPr>
          <w:iCs/>
          <w:sz w:val="24"/>
          <w:szCs w:val="24"/>
        </w:rPr>
        <w:t xml:space="preserve">образовательная </w:t>
      </w:r>
      <w:r w:rsidR="00E927FD" w:rsidRPr="00E927FD">
        <w:rPr>
          <w:sz w:val="24"/>
          <w:szCs w:val="24"/>
        </w:rPr>
        <w:t>программа</w:t>
      </w:r>
      <w:r w:rsidR="00E927FD">
        <w:rPr>
          <w:sz w:val="24"/>
          <w:szCs w:val="24"/>
        </w:rPr>
        <w:t xml:space="preserve"> </w:t>
      </w:r>
      <w:r w:rsidR="00E927FD" w:rsidRPr="001144EC">
        <w:rPr>
          <w:iCs/>
          <w:sz w:val="24"/>
          <w:szCs w:val="24"/>
        </w:rPr>
        <w:t>«</w:t>
      </w:r>
      <w:r w:rsidR="00E927FD">
        <w:rPr>
          <w:iCs/>
          <w:sz w:val="24"/>
          <w:szCs w:val="24"/>
        </w:rPr>
        <w:t>Управление бизнесом</w:t>
      </w:r>
      <w:r w:rsidR="00E927FD" w:rsidRPr="001144EC">
        <w:rPr>
          <w:iCs/>
          <w:sz w:val="24"/>
          <w:szCs w:val="24"/>
        </w:rPr>
        <w:t>»</w:t>
      </w:r>
      <w:r w:rsidR="00E927FD" w:rsidRPr="00E927FD">
        <w:rPr>
          <w:iCs/>
          <w:sz w:val="24"/>
          <w:szCs w:val="24"/>
        </w:rPr>
        <w:t>,</w:t>
      </w:r>
      <w:r w:rsidR="00E927FD">
        <w:t xml:space="preserve"> </w:t>
      </w:r>
      <w:r w:rsidRPr="001144EC">
        <w:rPr>
          <w:iCs/>
          <w:sz w:val="24"/>
          <w:szCs w:val="24"/>
        </w:rPr>
        <w:t>Москва, Россия</w:t>
      </w:r>
    </w:p>
    <w:p w14:paraId="301DCF60" w14:textId="0DD57FDF" w:rsidR="001144EC" w:rsidRPr="001144EC" w:rsidRDefault="001144EC" w:rsidP="001144EC">
      <w:pPr>
        <w:jc w:val="center"/>
        <w:rPr>
          <w:i/>
          <w:iCs/>
          <w:sz w:val="24"/>
          <w:szCs w:val="24"/>
          <w:lang w:val="en-US"/>
        </w:rPr>
      </w:pPr>
      <w:r w:rsidRPr="001144EC">
        <w:rPr>
          <w:rFonts w:eastAsia="Aptos"/>
          <w:i/>
          <w:iCs/>
          <w:sz w:val="24"/>
          <w:szCs w:val="24"/>
          <w:lang w:val="en-US"/>
        </w:rPr>
        <w:t xml:space="preserve">E-mail: </w:t>
      </w:r>
      <w:r w:rsidR="002A5D8A" w:rsidRPr="001144EC">
        <w:rPr>
          <w:i/>
          <w:iCs/>
          <w:sz w:val="24"/>
          <w:szCs w:val="24"/>
          <w:lang w:val="en-US"/>
        </w:rPr>
        <w:t>avkhudyakova@edu.hse.ru</w:t>
      </w:r>
    </w:p>
    <w:p w14:paraId="00000008" w14:textId="77777777" w:rsidR="00C17780" w:rsidRPr="001144EC" w:rsidRDefault="00C17780">
      <w:pPr>
        <w:rPr>
          <w:lang w:val="en-US"/>
        </w:rPr>
      </w:pPr>
    </w:p>
    <w:p w14:paraId="00000009" w14:textId="77777777" w:rsidR="00C17780" w:rsidRDefault="002A5D8A">
      <w:pPr>
        <w:ind w:firstLine="396"/>
        <w:jc w:val="both"/>
      </w:pPr>
      <w:r>
        <w:rPr>
          <w:sz w:val="24"/>
          <w:szCs w:val="24"/>
        </w:rPr>
        <w:t xml:space="preserve">В современной теории финансового менеджмента управление оборотным капиталом рассматривается как ключевой механизм обеспечения баланса между ликвидностью и рентабельностью предприятия [1, 2]. Концепция цикла конверсии денежных средств (CCC) </w:t>
      </w:r>
      <w:proofErr w:type="spellStart"/>
      <w:r>
        <w:rPr>
          <w:sz w:val="24"/>
          <w:szCs w:val="24"/>
        </w:rPr>
        <w:t>Richards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Laughlin</w:t>
      </w:r>
      <w:proofErr w:type="spellEnd"/>
      <w:r>
        <w:rPr>
          <w:sz w:val="24"/>
          <w:szCs w:val="24"/>
        </w:rPr>
        <w:t xml:space="preserve"> [3] устанавливает связь между длительностью операционного цикла и ликвидностью компании. Эмпирически подтверждена обратная зависимость между длиной CCC и рентабельностью [4], а оптимальный уровень оборотного капитала определяется балансом доходности и ликвидности по форме перевернутой параболы [5]. Для предприятий с ограниченным доступом к капиталу высвобождение оборотного капитала является главным источником внутреннего финансирования [6].</w:t>
      </w:r>
    </w:p>
    <w:p w14:paraId="0000000A" w14:textId="77777777" w:rsidR="00C17780" w:rsidRDefault="002A5D8A">
      <w:pPr>
        <w:ind w:firstLine="396"/>
        <w:jc w:val="both"/>
      </w:pPr>
      <w:r>
        <w:rPr>
          <w:sz w:val="24"/>
          <w:szCs w:val="24"/>
        </w:rPr>
        <w:t>Цель исследования - разработка модели управления оборотным капиталом ООО «</w:t>
      </w:r>
      <w:proofErr w:type="spellStart"/>
      <w:r>
        <w:rPr>
          <w:sz w:val="24"/>
          <w:szCs w:val="24"/>
        </w:rPr>
        <w:t>Ростпром</w:t>
      </w:r>
      <w:proofErr w:type="spellEnd"/>
      <w:r>
        <w:rPr>
          <w:sz w:val="24"/>
          <w:szCs w:val="24"/>
        </w:rPr>
        <w:t>», направленной на повышение ликвидности и рентабельности предприятия деревообрабатывающей отрасли. Объект исследования - ООО «</w:t>
      </w:r>
      <w:proofErr w:type="spellStart"/>
      <w:r>
        <w:rPr>
          <w:sz w:val="24"/>
          <w:szCs w:val="24"/>
        </w:rPr>
        <w:t>Ростпром</w:t>
      </w:r>
      <w:proofErr w:type="spellEnd"/>
      <w:r>
        <w:rPr>
          <w:sz w:val="24"/>
          <w:szCs w:val="24"/>
        </w:rPr>
        <w:t>». Методологическую основу составили горизонтальный и вертикальный анализ финансовой отчетности, расчет коэффициентов ликвидности и устойчивости, оценка рабочего капитала и анализ оборачиваемости текущих активов [7, 8]. Эмпирическая база - бухгалтерская отчетность предприятия за 2022-2024 гг.</w:t>
      </w:r>
    </w:p>
    <w:p w14:paraId="0000000B" w14:textId="77777777" w:rsidR="00C17780" w:rsidRPr="002A5D8A" w:rsidRDefault="002A5D8A">
      <w:pPr>
        <w:ind w:firstLine="396"/>
        <w:jc w:val="both"/>
      </w:pPr>
      <w:r w:rsidRPr="002A5D8A">
        <w:rPr>
          <w:sz w:val="24"/>
          <w:szCs w:val="24"/>
        </w:rPr>
        <w:t>ООО «</w:t>
      </w:r>
      <w:proofErr w:type="spellStart"/>
      <w:r w:rsidRPr="002A5D8A">
        <w:rPr>
          <w:sz w:val="24"/>
          <w:szCs w:val="24"/>
        </w:rPr>
        <w:t>Ростпром</w:t>
      </w:r>
      <w:proofErr w:type="spellEnd"/>
      <w:r w:rsidRPr="002A5D8A">
        <w:rPr>
          <w:sz w:val="24"/>
          <w:szCs w:val="24"/>
        </w:rPr>
        <w:t>» - предприятие полного цикла деревообработки в г. Братске (Иркутская обл., 120 сотрудников) с экспортной ориентацией на рынки Китая, Японии и Узбекистана. Выручка компании выросла на 45%: с 567,9 млн руб. в 2022 г. до 823,7 млн руб. в 2024 г. Вместе с тем в 2023-2024 гг. предприятие демонстрировало отрицательный финансовый результат. Чистый убыток в 2024 г. составил 41,1 млн руб., рентабельность продаж -</w:t>
      </w:r>
      <w:sdt>
        <w:sdtPr>
          <w:tag w:val="goog_rdk_0"/>
          <w:id w:val="-553421562"/>
        </w:sdtPr>
        <w:sdtEndPr/>
        <w:sdtContent>
          <w:r w:rsidRPr="002A5D8A">
            <w:rPr>
              <w:rFonts w:eastAsia="Gungsuh"/>
              <w:sz w:val="24"/>
              <w:szCs w:val="24"/>
            </w:rPr>
            <w:t xml:space="preserve"> −5,0%, рентабельность активов </w:t>
          </w:r>
        </w:sdtContent>
      </w:sdt>
      <w:r w:rsidRPr="002A5D8A">
        <w:rPr>
          <w:sz w:val="24"/>
          <w:szCs w:val="24"/>
        </w:rPr>
        <w:t>-</w:t>
      </w:r>
      <w:sdt>
        <w:sdtPr>
          <w:tag w:val="goog_rdk_1"/>
          <w:id w:val="1558412339"/>
        </w:sdtPr>
        <w:sdtEndPr/>
        <w:sdtContent>
          <w:r w:rsidRPr="002A5D8A">
            <w:rPr>
              <w:rFonts w:eastAsia="Gungsuh"/>
              <w:sz w:val="24"/>
              <w:szCs w:val="24"/>
            </w:rPr>
            <w:t xml:space="preserve"> −5,6%, рентабельность собственного капитала </w:t>
          </w:r>
        </w:sdtContent>
      </w:sdt>
      <w:r w:rsidRPr="002A5D8A">
        <w:rPr>
          <w:sz w:val="24"/>
          <w:szCs w:val="24"/>
        </w:rPr>
        <w:t>-</w:t>
      </w:r>
      <w:sdt>
        <w:sdtPr>
          <w:tag w:val="goog_rdk_2"/>
          <w:id w:val="149040253"/>
        </w:sdtPr>
        <w:sdtEndPr/>
        <w:sdtContent>
          <w:r w:rsidRPr="002A5D8A">
            <w:rPr>
              <w:rFonts w:eastAsia="Gungsuh"/>
              <w:sz w:val="24"/>
              <w:szCs w:val="24"/>
            </w:rPr>
            <w:t xml:space="preserve"> −114%. Рост масштабов деятельности не трансформировался в рост эффективности.</w:t>
          </w:r>
        </w:sdtContent>
      </w:sdt>
    </w:p>
    <w:p w14:paraId="0000000C" w14:textId="77777777" w:rsidR="00C17780" w:rsidRDefault="00D75BFB">
      <w:pPr>
        <w:ind w:firstLine="396"/>
        <w:jc w:val="both"/>
      </w:pPr>
      <w:sdt>
        <w:sdtPr>
          <w:tag w:val="goog_rdk_3"/>
          <w:id w:val="240194168"/>
        </w:sdtPr>
        <w:sdtEndPr/>
        <w:sdtContent>
          <w:r w:rsidR="002A5D8A" w:rsidRPr="002A5D8A">
            <w:rPr>
              <w:rFonts w:eastAsia="Gungsuh"/>
              <w:sz w:val="24"/>
              <w:szCs w:val="24"/>
            </w:rPr>
            <w:t xml:space="preserve">Коэффициент автономии составил 0,05 при норме ≥ 0,32, коэффициент финансового рычага </w:t>
          </w:r>
        </w:sdtContent>
      </w:sdt>
      <w:r w:rsidR="002A5D8A" w:rsidRPr="002A5D8A">
        <w:rPr>
          <w:sz w:val="24"/>
          <w:szCs w:val="24"/>
        </w:rPr>
        <w:t>- 19,16 [9].</w:t>
      </w:r>
      <w:r w:rsidR="002A5D8A">
        <w:rPr>
          <w:sz w:val="24"/>
          <w:szCs w:val="24"/>
        </w:rPr>
        <w:t xml:space="preserve"> Рабочий капитал отрицателен, что квалифицирует финансовое состояние как кризисное. В структуре оборотных активов дебиторская задолженность занимает 71,8% (314 млн руб.), доля денежных средств - 0,08%. Задолженность покупателей выросла в 4,6 раза: с 48,8 до 225,0 млн руб. в 2022-2024 гг. Средний срок инкассации дебиторской задолженности составляет 139 дней, период оборачиваемости запасов - 59 дней, операционный цикл - 198 дней. Альтернативные издержки иммобилизации средств в ДЗ при ставке 17% составляют 53,4 млн руб./год.</w:t>
      </w:r>
    </w:p>
    <w:p w14:paraId="0000000D" w14:textId="77777777" w:rsidR="00C17780" w:rsidRDefault="002A5D8A">
      <w:pPr>
        <w:ind w:firstLine="396"/>
        <w:jc w:val="both"/>
      </w:pPr>
      <w:r>
        <w:rPr>
          <w:sz w:val="24"/>
          <w:szCs w:val="24"/>
        </w:rPr>
        <w:t>Разработана четырехблочная модель управления оборотным капиталом. Блок 1 - диагностика и мониторинг: ежемесячный расчет DSO, DIO, DPO, CCC с формированием управленческих сигналов. Блок 2 - управление дебиторской задолженностью: ABC-классификация покупателей, нормирование ДЗ как произведения целевого DSO на среднедневную выручку, реестр старения ДЗ. Блок 3 - управление запасами: ABC/XYZ-классификация номенклатуры, нормирование по видам запасов, модель EOQ. Блок 4 - управление денежными средствами: платежный календарь на 4-6 недель и оценка целесообразности факторинга. Результаты мониторинга из блока 1 ежемесячно корректируют параметры блоков 2-4.</w:t>
      </w:r>
    </w:p>
    <w:p w14:paraId="0000000E" w14:textId="77777777" w:rsidR="00C17780" w:rsidRPr="002A5D8A" w:rsidRDefault="00D75BFB">
      <w:pPr>
        <w:ind w:firstLine="396"/>
        <w:jc w:val="both"/>
      </w:pPr>
      <w:sdt>
        <w:sdtPr>
          <w:tag w:val="goog_rdk_4"/>
          <w:id w:val="-1562984972"/>
        </w:sdtPr>
        <w:sdtEndPr/>
        <w:sdtContent>
          <w:r w:rsidR="002A5D8A" w:rsidRPr="002A5D8A">
            <w:rPr>
              <w:rFonts w:eastAsia="Gungsuh"/>
              <w:sz w:val="24"/>
              <w:szCs w:val="24"/>
            </w:rPr>
            <w:t xml:space="preserve">Кредитная политика предусматривает три группы покупателей с разными условиями. Группа А (≥70% выручки) получает отсрочку 90 дней, группа B (~20%) </w:t>
          </w:r>
        </w:sdtContent>
      </w:sdt>
      <w:r w:rsidR="002A5D8A" w:rsidRPr="002A5D8A">
        <w:rPr>
          <w:sz w:val="24"/>
          <w:szCs w:val="24"/>
        </w:rPr>
        <w:t>-</w:t>
      </w:r>
      <w:sdt>
        <w:sdtPr>
          <w:tag w:val="goog_rdk_5"/>
          <w:id w:val="2050813129"/>
        </w:sdtPr>
        <w:sdtEndPr/>
        <w:sdtContent>
          <w:r w:rsidR="002A5D8A" w:rsidRPr="002A5D8A">
            <w:rPr>
              <w:rFonts w:eastAsia="Gungsuh"/>
              <w:sz w:val="24"/>
              <w:szCs w:val="24"/>
            </w:rPr>
            <w:t xml:space="preserve"> 60 дней, группа C (≤10%) работает на условиях 30 дней или предоплаты. Каждому контрагенту устанавливается индивидуальный кредитный лимит с уч</w:t>
          </w:r>
        </w:sdtContent>
      </w:sdt>
      <w:r w:rsidR="002A5D8A" w:rsidRPr="002A5D8A">
        <w:rPr>
          <w:sz w:val="24"/>
          <w:szCs w:val="24"/>
        </w:rPr>
        <w:t>етом объема отгрузок, нормативного срока отсрочки и коэффициента риска, отражающего платежную дисциплину.</w:t>
      </w:r>
    </w:p>
    <w:p w14:paraId="0000000F" w14:textId="77777777" w:rsidR="00C17780" w:rsidRDefault="002A5D8A">
      <w:pPr>
        <w:ind w:firstLine="396"/>
        <w:jc w:val="both"/>
      </w:pPr>
      <w:r>
        <w:rPr>
          <w:sz w:val="24"/>
          <w:szCs w:val="24"/>
        </w:rPr>
        <w:t xml:space="preserve">По результатам сценарного анализа базовый сценарий (DSO = 90 </w:t>
      </w:r>
      <w:proofErr w:type="spellStart"/>
      <w:r>
        <w:rPr>
          <w:sz w:val="24"/>
          <w:szCs w:val="24"/>
        </w:rPr>
        <w:t>дн</w:t>
      </w:r>
      <w:proofErr w:type="spellEnd"/>
      <w:r>
        <w:rPr>
          <w:sz w:val="24"/>
          <w:szCs w:val="24"/>
        </w:rPr>
        <w:t xml:space="preserve">., DIO = 45 </w:t>
      </w:r>
      <w:proofErr w:type="spellStart"/>
      <w:r>
        <w:rPr>
          <w:sz w:val="24"/>
          <w:szCs w:val="24"/>
        </w:rPr>
        <w:t>дн</w:t>
      </w:r>
      <w:proofErr w:type="spellEnd"/>
      <w:r>
        <w:rPr>
          <w:sz w:val="24"/>
          <w:szCs w:val="24"/>
        </w:rPr>
        <w:t xml:space="preserve">.) обеспечивает высвобождение оборотного капитала на 110,8 млн руб., экономию альтернативных издержек 18,8 млн руб./год и сокращение убытка на 35,8% - до 26,4 млн руб. Коэффициент текущей ликвидности достигает 1,42, быстрой - 1,08. Оптимистичный сценарий с регрессным факторингом по группе А (DSO = 60 </w:t>
      </w:r>
      <w:proofErr w:type="spellStart"/>
      <w:r>
        <w:rPr>
          <w:sz w:val="24"/>
          <w:szCs w:val="24"/>
        </w:rPr>
        <w:t>дн</w:t>
      </w:r>
      <w:proofErr w:type="spellEnd"/>
      <w:r>
        <w:rPr>
          <w:sz w:val="24"/>
          <w:szCs w:val="24"/>
        </w:rPr>
        <w:t xml:space="preserve">., DIO = 35 </w:t>
      </w:r>
      <w:proofErr w:type="spellStart"/>
      <w:r>
        <w:rPr>
          <w:sz w:val="24"/>
          <w:szCs w:val="24"/>
        </w:rPr>
        <w:t>дн</w:t>
      </w:r>
      <w:proofErr w:type="spellEnd"/>
      <w:r>
        <w:rPr>
          <w:sz w:val="24"/>
          <w:szCs w:val="24"/>
        </w:rPr>
        <w:t>.) дает высвобождение 207,8 млн руб., экономию 35,3 млн руб./год и сокращение убытка на 78,1% - до 9,9 млн руб. Коэффициент текущей ликвидности в этом случае достигает 2,07.</w:t>
      </w:r>
    </w:p>
    <w:p w14:paraId="00000010" w14:textId="77777777" w:rsidR="00C17780" w:rsidRDefault="002A5D8A">
      <w:pPr>
        <w:ind w:firstLine="396"/>
        <w:jc w:val="both"/>
      </w:pPr>
      <w:r>
        <w:rPr>
          <w:sz w:val="24"/>
          <w:szCs w:val="24"/>
        </w:rPr>
        <w:t>Управление оборотным капиталом рассматривается как стратегический инструмент повышения финансовой устойчивости предприятия. Реализация модели предполагает план внедрения на 12 месяцев: утверждение регламента кредитной политики и ABC-классификация покупателей (1-2 мес.); запуск реестра старения ДЗ и платежного календаря (3-6 мес.); ABC/XYZ-классификация запасов и запуск факторинга (7-12 мес.). Модель применима для других предприятий деревообрабатывающей отрасли со схожей структурой сбыта.</w:t>
      </w:r>
    </w:p>
    <w:p w14:paraId="00000011" w14:textId="77777777" w:rsidR="00C17780" w:rsidRDefault="00C17780"/>
    <w:p w14:paraId="00000012" w14:textId="4C955085" w:rsidR="00C17780" w:rsidRPr="001F6CCE" w:rsidRDefault="001F6CCE">
      <w:pPr>
        <w:jc w:val="center"/>
      </w:pPr>
      <w:r>
        <w:rPr>
          <w:b/>
          <w:bCs/>
          <w:sz w:val="24"/>
          <w:szCs w:val="24"/>
        </w:rPr>
        <w:t>Источники и литература</w:t>
      </w:r>
    </w:p>
    <w:p w14:paraId="1587916F" w14:textId="77777777" w:rsidR="00D75BFB" w:rsidRDefault="00D75BFB" w:rsidP="00D75BFB">
      <w:pPr>
        <w:pStyle w:val="a5"/>
        <w:numPr>
          <w:ilvl w:val="0"/>
          <w:numId w:val="1"/>
        </w:numPr>
        <w:jc w:val="both"/>
      </w:pPr>
      <w:proofErr w:type="spellStart"/>
      <w:r w:rsidRPr="001F6CCE">
        <w:rPr>
          <w:sz w:val="24"/>
          <w:szCs w:val="24"/>
        </w:rPr>
        <w:t>Завгородняя</w:t>
      </w:r>
      <w:proofErr w:type="spellEnd"/>
      <w:r w:rsidRPr="001F6CCE">
        <w:rPr>
          <w:sz w:val="24"/>
          <w:szCs w:val="24"/>
        </w:rPr>
        <w:t xml:space="preserve"> Е.В. и др. Финансовый анализ: диагностика ликвидности и устойчивости компаний // Вестник Академии знаний. 2025. № 1. С. 112-125.</w:t>
      </w:r>
    </w:p>
    <w:p w14:paraId="0CE300EF" w14:textId="77777777" w:rsidR="00D75BFB" w:rsidRDefault="00D75BFB" w:rsidP="00D75BFB">
      <w:pPr>
        <w:pStyle w:val="a5"/>
        <w:numPr>
          <w:ilvl w:val="0"/>
          <w:numId w:val="1"/>
        </w:numPr>
        <w:jc w:val="both"/>
      </w:pPr>
      <w:r w:rsidRPr="001F6CCE">
        <w:rPr>
          <w:sz w:val="24"/>
          <w:szCs w:val="24"/>
        </w:rPr>
        <w:t>Мамаева Л.Н. Финансовая устойчивость предприятия как детерминанта экономической безопасности // Вестник РЭУ им. Г.В. Плеханова. 2025. № 5. С. 199-207.</w:t>
      </w:r>
    </w:p>
    <w:p w14:paraId="7BA77E61" w14:textId="77777777" w:rsidR="00D75BFB" w:rsidRDefault="00D75BFB" w:rsidP="00D75BFB">
      <w:pPr>
        <w:pStyle w:val="a5"/>
        <w:numPr>
          <w:ilvl w:val="0"/>
          <w:numId w:val="1"/>
        </w:numPr>
        <w:jc w:val="both"/>
      </w:pPr>
      <w:proofErr w:type="spellStart"/>
      <w:r w:rsidRPr="001F6CCE">
        <w:rPr>
          <w:sz w:val="24"/>
          <w:szCs w:val="24"/>
        </w:rPr>
        <w:t>Матюнина</w:t>
      </w:r>
      <w:proofErr w:type="spellEnd"/>
      <w:r w:rsidRPr="001F6CCE">
        <w:rPr>
          <w:sz w:val="24"/>
          <w:szCs w:val="24"/>
        </w:rPr>
        <w:t xml:space="preserve"> М.В., Авраменко А.А. Методы анализа отчета о финансовых результатах // Современная научная мысль. 2023. № 3. С. 245-251.</w:t>
      </w:r>
    </w:p>
    <w:p w14:paraId="02691CEE" w14:textId="49C19CF7" w:rsidR="00D75BFB" w:rsidRPr="00D75BFB" w:rsidRDefault="00D75BFB" w:rsidP="00D75BFB">
      <w:pPr>
        <w:pStyle w:val="a5"/>
        <w:numPr>
          <w:ilvl w:val="0"/>
          <w:numId w:val="1"/>
        </w:numPr>
        <w:jc w:val="both"/>
      </w:pPr>
      <w:proofErr w:type="spellStart"/>
      <w:r w:rsidRPr="001F6CCE">
        <w:rPr>
          <w:sz w:val="24"/>
          <w:szCs w:val="24"/>
        </w:rPr>
        <w:t>Чикалова</w:t>
      </w:r>
      <w:proofErr w:type="spellEnd"/>
      <w:r w:rsidRPr="001F6CCE">
        <w:rPr>
          <w:sz w:val="24"/>
          <w:szCs w:val="24"/>
        </w:rPr>
        <w:t xml:space="preserve"> А.Е., </w:t>
      </w:r>
      <w:proofErr w:type="spellStart"/>
      <w:r w:rsidRPr="001F6CCE">
        <w:rPr>
          <w:sz w:val="24"/>
          <w:szCs w:val="24"/>
        </w:rPr>
        <w:t>Пласкова</w:t>
      </w:r>
      <w:proofErr w:type="spellEnd"/>
      <w:r w:rsidRPr="001F6CCE">
        <w:rPr>
          <w:sz w:val="24"/>
          <w:szCs w:val="24"/>
        </w:rPr>
        <w:t xml:space="preserve"> Н.С. Сравнительное моделирование в оценке оборотных активов // Фин. менеджмент. 2025. № 1. С. 248-265.</w:t>
      </w:r>
    </w:p>
    <w:p w14:paraId="4C59C4C6" w14:textId="5EC9E528" w:rsidR="00150304" w:rsidRPr="001F6CCE" w:rsidRDefault="00150304" w:rsidP="001F6CCE">
      <w:pPr>
        <w:pStyle w:val="a5"/>
        <w:numPr>
          <w:ilvl w:val="0"/>
          <w:numId w:val="1"/>
        </w:numPr>
        <w:jc w:val="both"/>
        <w:rPr>
          <w:lang w:val="en-US"/>
        </w:rPr>
      </w:pPr>
      <w:proofErr w:type="spellStart"/>
      <w:r w:rsidRPr="001F6CCE">
        <w:rPr>
          <w:sz w:val="24"/>
          <w:szCs w:val="24"/>
          <w:lang w:val="en-US"/>
        </w:rPr>
        <w:t>Baños</w:t>
      </w:r>
      <w:proofErr w:type="spellEnd"/>
      <w:r w:rsidRPr="001F6CCE">
        <w:rPr>
          <w:sz w:val="24"/>
          <w:szCs w:val="24"/>
          <w:lang w:val="en-US"/>
        </w:rPr>
        <w:t>-Caballero S. et al. Working capital management, corporate performance, and financial constraints // J. of Business Research. 2014. Vol. 67, № 3. P. 332-338.</w:t>
      </w:r>
    </w:p>
    <w:p w14:paraId="2ADEC60F" w14:textId="77777777" w:rsidR="00150304" w:rsidRPr="001F6CCE" w:rsidRDefault="00150304" w:rsidP="001F6CCE">
      <w:pPr>
        <w:pStyle w:val="a5"/>
        <w:numPr>
          <w:ilvl w:val="0"/>
          <w:numId w:val="1"/>
        </w:numPr>
        <w:jc w:val="both"/>
        <w:rPr>
          <w:lang w:val="en-US"/>
        </w:rPr>
      </w:pPr>
      <w:r w:rsidRPr="001F6CCE">
        <w:rPr>
          <w:sz w:val="24"/>
          <w:szCs w:val="24"/>
          <w:lang w:val="en-US"/>
        </w:rPr>
        <w:t>Brigham E.F., Ehrhardt M.C. Financial Management: Theory and Practice. 17th ed. Boston: Cengage Learning, 2024.</w:t>
      </w:r>
    </w:p>
    <w:p w14:paraId="3F60F707" w14:textId="77777777" w:rsidR="00150304" w:rsidRDefault="00150304" w:rsidP="001F6CCE">
      <w:pPr>
        <w:pStyle w:val="a5"/>
        <w:numPr>
          <w:ilvl w:val="0"/>
          <w:numId w:val="1"/>
        </w:numPr>
        <w:jc w:val="both"/>
      </w:pPr>
      <w:proofErr w:type="spellStart"/>
      <w:r w:rsidRPr="001F6CCE">
        <w:rPr>
          <w:sz w:val="24"/>
          <w:szCs w:val="24"/>
          <w:lang w:val="en-US"/>
        </w:rPr>
        <w:t>Jabbouri</w:t>
      </w:r>
      <w:proofErr w:type="spellEnd"/>
      <w:r w:rsidRPr="001F6CCE">
        <w:rPr>
          <w:sz w:val="24"/>
          <w:szCs w:val="24"/>
          <w:lang w:val="en-US"/>
        </w:rPr>
        <w:t xml:space="preserve"> I. et al. Working capital management and firm performance in emerging markets // J. of Economic and Administrative Sciences. 2023. </w:t>
      </w:r>
      <w:proofErr w:type="spellStart"/>
      <w:r w:rsidRPr="001F6CCE">
        <w:rPr>
          <w:sz w:val="24"/>
          <w:szCs w:val="24"/>
        </w:rPr>
        <w:t>Vol</w:t>
      </w:r>
      <w:proofErr w:type="spellEnd"/>
      <w:r w:rsidRPr="001F6CCE">
        <w:rPr>
          <w:sz w:val="24"/>
          <w:szCs w:val="24"/>
        </w:rPr>
        <w:t>. 39, № 4. P. 693-711.</w:t>
      </w:r>
    </w:p>
    <w:p w14:paraId="05F1AF9F" w14:textId="77777777" w:rsidR="00150304" w:rsidRPr="001F6CCE" w:rsidRDefault="00150304" w:rsidP="001F6CCE">
      <w:pPr>
        <w:pStyle w:val="a5"/>
        <w:numPr>
          <w:ilvl w:val="0"/>
          <w:numId w:val="1"/>
        </w:numPr>
        <w:jc w:val="both"/>
        <w:rPr>
          <w:lang w:val="en-US"/>
        </w:rPr>
      </w:pPr>
      <w:r w:rsidRPr="001F6CCE">
        <w:rPr>
          <w:sz w:val="24"/>
          <w:szCs w:val="24"/>
          <w:lang w:val="en-US"/>
        </w:rPr>
        <w:t>Jaworski J., Czerwonka L. Profitability and working capital management // DECISION. 2024. Vol. 51, № 1. P. 123-145. DOI: 10.1007/s40622-023-00372-x.</w:t>
      </w:r>
    </w:p>
    <w:p w14:paraId="23EB25B4" w14:textId="77777777" w:rsidR="00150304" w:rsidRPr="00150304" w:rsidRDefault="00150304" w:rsidP="001F6CCE">
      <w:pPr>
        <w:pStyle w:val="a5"/>
        <w:numPr>
          <w:ilvl w:val="0"/>
          <w:numId w:val="1"/>
        </w:numPr>
        <w:jc w:val="both"/>
        <w:rPr>
          <w:lang w:val="en-US"/>
        </w:rPr>
      </w:pPr>
      <w:r w:rsidRPr="001F6CCE">
        <w:rPr>
          <w:sz w:val="24"/>
          <w:szCs w:val="24"/>
          <w:lang w:val="en-US"/>
        </w:rPr>
        <w:t xml:space="preserve">Richards V.D., Laughlin E.J. A cash conversion cycle approach to liquidity analysis // Financial Management. </w:t>
      </w:r>
      <w:r w:rsidRPr="00150304">
        <w:rPr>
          <w:sz w:val="24"/>
          <w:szCs w:val="24"/>
          <w:lang w:val="en-US"/>
        </w:rPr>
        <w:t>1980. Vol. 9, № 1. P. 32-38.</w:t>
      </w:r>
    </w:p>
    <w:p w14:paraId="1F13FCF5" w14:textId="0E7FFAEC" w:rsidR="00150304" w:rsidRDefault="00150304" w:rsidP="00D75BFB">
      <w:pPr>
        <w:pStyle w:val="a5"/>
        <w:jc w:val="both"/>
      </w:pPr>
      <w:bookmarkStart w:id="1" w:name="_GoBack"/>
      <w:bookmarkEnd w:id="1"/>
    </w:p>
    <w:sectPr w:rsidR="00150304" w:rsidSect="005D365D">
      <w:headerReference w:type="default" r:id="rId8"/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A06B2" w14:textId="77777777" w:rsidR="001F6CCE" w:rsidRDefault="001F6CCE" w:rsidP="001F6CCE">
      <w:r>
        <w:separator/>
      </w:r>
    </w:p>
  </w:endnote>
  <w:endnote w:type="continuationSeparator" w:id="0">
    <w:p w14:paraId="22865F5B" w14:textId="77777777" w:rsidR="001F6CCE" w:rsidRDefault="001F6CCE" w:rsidP="001F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3BE226AE-F3F6-4829-8303-71552A6805BE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2" w:fontKey="{EE536FEF-F48A-46F5-8286-5A03CBEEF2A9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3" w:fontKey="{7C79377D-1CE8-47FB-AD1D-8B8D6F05213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A9516" w14:textId="77777777" w:rsidR="001F6CCE" w:rsidRDefault="001F6CCE" w:rsidP="001F6CCE">
      <w:r>
        <w:separator/>
      </w:r>
    </w:p>
  </w:footnote>
  <w:footnote w:type="continuationSeparator" w:id="0">
    <w:p w14:paraId="741E4353" w14:textId="77777777" w:rsidR="001F6CCE" w:rsidRDefault="001F6CCE" w:rsidP="001F6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3B4B9" w14:textId="0A0227CF" w:rsidR="001F6CCE" w:rsidRPr="001F6CCE" w:rsidRDefault="001F6CCE" w:rsidP="001F6CCE">
    <w:pPr>
      <w:tabs>
        <w:tab w:val="left" w:pos="5670"/>
      </w:tabs>
      <w:spacing w:after="120"/>
      <w:rPr>
        <w:rFonts w:eastAsia="Aptos"/>
        <w:i/>
        <w:iCs/>
        <w:sz w:val="24"/>
        <w:szCs w:val="24"/>
      </w:rPr>
    </w:pPr>
    <w:bookmarkStart w:id="2" w:name="_Hlk228267330"/>
    <w:bookmarkStart w:id="3" w:name="_Hlk228267331"/>
    <w:bookmarkStart w:id="4" w:name="_Hlk228267881"/>
    <w:bookmarkStart w:id="5" w:name="_Hlk228267882"/>
    <w:bookmarkStart w:id="6" w:name="_Hlk228269185"/>
    <w:bookmarkStart w:id="7" w:name="_Hlk228269186"/>
    <w:bookmarkStart w:id="8" w:name="_Hlk228269571"/>
    <w:bookmarkStart w:id="9" w:name="_Hlk228269572"/>
    <w:bookmarkStart w:id="10" w:name="_Hlk228269573"/>
    <w:bookmarkStart w:id="11" w:name="_Hlk228269574"/>
    <w:bookmarkStart w:id="12" w:name="_Hlk228269575"/>
    <w:bookmarkStart w:id="13" w:name="_Hlk228269576"/>
    <w:bookmarkStart w:id="14" w:name="_Hlk228269577"/>
    <w:bookmarkStart w:id="15" w:name="_Hlk228269578"/>
    <w:bookmarkStart w:id="16" w:name="_Hlk228269579"/>
    <w:bookmarkStart w:id="17" w:name="_Hlk228269580"/>
    <w:r w:rsidRPr="001F6CCE">
      <w:rPr>
        <w:rFonts w:eastAsia="Aptos"/>
        <w:i/>
        <w:iCs/>
        <w:sz w:val="24"/>
        <w:szCs w:val="24"/>
      </w:rPr>
      <w:t>Конференция «Ломоносов» 2026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B566C"/>
    <w:multiLevelType w:val="hybridMultilevel"/>
    <w:tmpl w:val="80D6F8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2393F"/>
    <w:multiLevelType w:val="hybridMultilevel"/>
    <w:tmpl w:val="CBE0DA9C"/>
    <w:lvl w:ilvl="0" w:tplc="CF0A38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80"/>
    <w:rsid w:val="001144EC"/>
    <w:rsid w:val="00150304"/>
    <w:rsid w:val="001F6CCE"/>
    <w:rsid w:val="002A5D8A"/>
    <w:rsid w:val="005D365D"/>
    <w:rsid w:val="00C17780"/>
    <w:rsid w:val="00D75BFB"/>
    <w:rsid w:val="00E9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D65D"/>
  <w15:docId w15:val="{C5E6BD6C-6081-4B13-B113-F5493CB0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1F6CC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F6C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CCE"/>
  </w:style>
  <w:style w:type="paragraph" w:styleId="a8">
    <w:name w:val="footer"/>
    <w:basedOn w:val="a"/>
    <w:link w:val="a9"/>
    <w:uiPriority w:val="99"/>
    <w:unhideWhenUsed/>
    <w:rsid w:val="001F6C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6CCE"/>
  </w:style>
  <w:style w:type="character" w:styleId="aa">
    <w:name w:val="Hyperlink"/>
    <w:basedOn w:val="a0"/>
    <w:uiPriority w:val="99"/>
    <w:unhideWhenUsed/>
    <w:rsid w:val="001144E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14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3rhGUK5lPzQxS5njOQvFtsc2Q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4AHIhMWdHa3F3YnZneTFYZ29iVFV6UE5Rc1VGRlN6aFNLQz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Данилкина Мария</cp:lastModifiedBy>
  <cp:revision>7</cp:revision>
  <dcterms:created xsi:type="dcterms:W3CDTF">2026-04-27T06:35:00Z</dcterms:created>
  <dcterms:modified xsi:type="dcterms:W3CDTF">2026-05-04T11:35:00Z</dcterms:modified>
</cp:coreProperties>
</file>