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E2118" w:rsidRDefault="00000000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</w:rPr>
        <w:t xml:space="preserve">Концептуализация гибридной </w:t>
      </w:r>
      <w:proofErr w:type="spellStart"/>
      <w:r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</w:rPr>
        <w:t>агентности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</w:rPr>
        <w:t xml:space="preserve"> в предпринимательстве в эпоху искусственного интеллекта</w:t>
      </w:r>
    </w:p>
    <w:p w14:paraId="00000002" w14:textId="77777777" w:rsidR="007E2118" w:rsidRDefault="00000000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</w:rPr>
        <w:t>Абдухалилов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</w:rPr>
        <w:t xml:space="preserve"> О.C.</w:t>
      </w:r>
    </w:p>
    <w:p w14:paraId="00000003" w14:textId="77777777" w:rsidR="007E2118" w:rsidRDefault="00000000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Аспирант</w:t>
      </w:r>
    </w:p>
    <w:p w14:paraId="00000004" w14:textId="77777777" w:rsidR="007E2118" w:rsidRDefault="00000000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  <w:t>Санкт-Петербургский государственный университет, Высшая школа менеджмента, Санкт-Петербург, Россия</w:t>
      </w:r>
    </w:p>
    <w:p w14:paraId="00000005" w14:textId="77777777" w:rsidR="007E2118" w:rsidRPr="00E91B53" w:rsidRDefault="00000000">
      <w:pPr>
        <w:shd w:val="clear" w:color="auto" w:fill="FFFFFF"/>
        <w:spacing w:after="160" w:line="240" w:lineRule="auto"/>
        <w:jc w:val="center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lang w:val="en-US"/>
        </w:rPr>
      </w:pPr>
      <w:r w:rsidRPr="00E91B5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lang w:val="en-US"/>
        </w:rPr>
        <w:t>E–mail: st081181@student.spbu.ru</w:t>
      </w:r>
    </w:p>
    <w:p w14:paraId="00000006" w14:textId="77777777" w:rsidR="007E2118" w:rsidRDefault="00000000">
      <w:pPr>
        <w:shd w:val="clear" w:color="auto" w:fill="FFFFFF"/>
        <w:spacing w:line="240" w:lineRule="auto"/>
        <w:ind w:firstLine="396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Создание новых предприятий — основа рыночной динамики, однако исследователи регулярно фиксируют проблему «разрыва между намерением и действием». Согласно Модели фаз действия [1], на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преакциональной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стадии часть потенциальных предпринимателей сталкивается с когнитивным параличом, останавливаясь перед барьером входа и так и не переходя психологический «Рубикон».</w:t>
      </w:r>
    </w:p>
    <w:p w14:paraId="00000007" w14:textId="77777777" w:rsidR="007E2118" w:rsidRDefault="00000000">
      <w:pPr>
        <w:shd w:val="clear" w:color="auto" w:fill="FFFFFF"/>
        <w:spacing w:line="240" w:lineRule="auto"/>
        <w:ind w:firstLine="396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Ранее данный феномен объяснялся индивидуальными дефицитами в рамках парадигмы «одинокого героя-инноватора» [6], опирающейся на модель Картезианского субъекта. Технологиям при этом отводилась инструментальная, пассивная роль. Массовое внедрение генеративного искусственного интеллекта (ИИ) ставит эту предпосылку под сомнение. Способность алгоритмов автономно синтезировать программный код и бизнес-модели размывает монополию человека на субъектность.</w:t>
      </w:r>
    </w:p>
    <w:p w14:paraId="00000008" w14:textId="77777777" w:rsidR="007E2118" w:rsidRDefault="00000000">
      <w:pPr>
        <w:shd w:val="clear" w:color="auto" w:fill="FFFFFF"/>
        <w:spacing w:line="240" w:lineRule="auto"/>
        <w:ind w:firstLine="396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Опираясь на концепцию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социоматериальности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акторно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-сетевую теорию [2], данное исследование постулирует переход к формату «сопряженной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агентности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» [4]. В гибридной сети «человек-ИИ» возникает специфическое разделение труда: алгоритм берет на себя рутину сценарной генерации, оставляя человеку функцию контекстуального суждения.</w:t>
      </w:r>
    </w:p>
    <w:p w14:paraId="00000009" w14:textId="77777777" w:rsidR="007E2118" w:rsidRDefault="00000000">
      <w:pPr>
        <w:shd w:val="clear" w:color="auto" w:fill="FFFFFF"/>
        <w:spacing w:line="240" w:lineRule="auto"/>
        <w:ind w:firstLine="396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Для описания механизма преодоления разрыва вводится концепт «волевого экзоскелета».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Экстернализируя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нагрузку через запросы к ИИ, основатель нивелирует операционную сложность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преакционального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этапа. Возникающая когнитивная разгрузка высвобождает ресурс для реализации волевого акта, снижая барьер входа в бизнес.</w:t>
      </w:r>
    </w:p>
    <w:p w14:paraId="0000000A" w14:textId="77777777" w:rsidR="007E2118" w:rsidRDefault="00000000">
      <w:pPr>
        <w:shd w:val="clear" w:color="auto" w:fill="FFFFFF"/>
        <w:spacing w:line="240" w:lineRule="auto"/>
        <w:ind w:firstLine="396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Гетерогенность практик делегирования позволяет выделить два полярных типа цифровых предпринимателей. «Архитекторы» используют ИИ для когнитивной аугментации, выступая модераторами гибридной сети и задавая этические границы машинной генерации. «Пассажиры», подверженные парадоксу автоматизации [5], делегируют алгоритму не только исполнение, но и функцию целеполагания, что провоцирует утрату неявного знания.</w:t>
      </w:r>
    </w:p>
    <w:p w14:paraId="0000000B" w14:textId="77777777" w:rsidR="007E2118" w:rsidRDefault="00000000">
      <w:pPr>
        <w:shd w:val="clear" w:color="auto" w:fill="FFFFFF"/>
        <w:spacing w:line="240" w:lineRule="auto"/>
        <w:ind w:firstLine="396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На макроуровне когнитивная атрофия индивида масштабируется в организационную патологию — феномен «полых венчуров». В контексте теории институционального расслоения [3], ИИ оперативно генерирует легитимный церемониальный фасад, маскирующий отсутствие реального технического ядра. В ситуации нетипичного кризиса, выходящего за рамки обучающей выборки алгоритма, такие стартапы демонстрируют низкую устойчивость.</w:t>
      </w:r>
    </w:p>
    <w:p w14:paraId="0000000C" w14:textId="77777777" w:rsidR="007E2118" w:rsidRDefault="00000000">
      <w:pPr>
        <w:shd w:val="clear" w:color="auto" w:fill="FFFFFF"/>
        <w:spacing w:line="240" w:lineRule="auto"/>
        <w:ind w:firstLine="396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Зафиксированный онтологический сдвиг обесценивает традиционные стандарты бизнес-образования. Оценка молодежных проектов исключительно на базе сгенерированных артефактов теряет диагностическую надежность. Образовательная парадигма обязана перенести фокус с навыков самостоятельного создания контента на развитие компетенций «ИИ-оркестровки» и экспертного суждения в условиях истинной неопределенности.</w:t>
      </w:r>
    </w:p>
    <w:p w14:paraId="4FA82A11" w14:textId="77777777" w:rsidR="00E91B53" w:rsidRDefault="00E91B5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val="ru-RU"/>
        </w:rPr>
      </w:pPr>
    </w:p>
    <w:p w14:paraId="4307D9C7" w14:textId="77777777" w:rsidR="00E91B53" w:rsidRDefault="00E91B53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val="ru-RU"/>
        </w:rPr>
      </w:pPr>
    </w:p>
    <w:p w14:paraId="0000000D" w14:textId="0162B6B4" w:rsidR="007E2118" w:rsidRDefault="00000000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</w:rPr>
        <w:lastRenderedPageBreak/>
        <w:t>Литература</w:t>
      </w:r>
    </w:p>
    <w:p w14:paraId="0000000E" w14:textId="77777777" w:rsidR="007E2118" w:rsidRDefault="00000000">
      <w:pPr>
        <w:numPr>
          <w:ilvl w:val="0"/>
          <w:numId w:val="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proofErr w:type="spellStart"/>
      <w:r w:rsidRPr="00E91B53">
        <w:rPr>
          <w:rFonts w:ascii="Times New Roman" w:eastAsia="Times New Roman" w:hAnsi="Times New Roman" w:cs="Times New Roman"/>
          <w:color w:val="353535"/>
          <w:sz w:val="24"/>
          <w:szCs w:val="24"/>
          <w:lang w:val="en-US"/>
        </w:rPr>
        <w:t>Heckhausen</w:t>
      </w:r>
      <w:proofErr w:type="spellEnd"/>
      <w:r w:rsidRPr="00E91B53">
        <w:rPr>
          <w:rFonts w:ascii="Times New Roman" w:eastAsia="Times New Roman" w:hAnsi="Times New Roman" w:cs="Times New Roman"/>
          <w:color w:val="353535"/>
          <w:sz w:val="24"/>
          <w:szCs w:val="24"/>
          <w:lang w:val="en-US"/>
        </w:rPr>
        <w:t xml:space="preserve"> H., Gollwitzer P. M. Thought contents and cognitive functioning in motivational versus volitional states of mind // Motivation and Emotion. </w:t>
      </w: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1987. V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ol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. 11, № 2. P. 101–120.</w:t>
      </w:r>
    </w:p>
    <w:p w14:paraId="0000000F" w14:textId="77777777" w:rsidR="007E2118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 w:rsidRPr="00E91B53">
        <w:rPr>
          <w:rFonts w:ascii="Times New Roman" w:eastAsia="Times New Roman" w:hAnsi="Times New Roman" w:cs="Times New Roman"/>
          <w:color w:val="353535"/>
          <w:sz w:val="24"/>
          <w:szCs w:val="24"/>
          <w:lang w:val="en-US"/>
        </w:rPr>
        <w:t xml:space="preserve">Latour B. Reassembling the Social: An Introduction to Actor-Network-Theory.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Oxford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Oxford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 xml:space="preserve"> University Press. 2005.</w:t>
      </w:r>
    </w:p>
    <w:p w14:paraId="00000010" w14:textId="77777777" w:rsidR="007E2118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 w:rsidRPr="00E91B53">
        <w:rPr>
          <w:rFonts w:ascii="Times New Roman" w:eastAsia="Times New Roman" w:hAnsi="Times New Roman" w:cs="Times New Roman"/>
          <w:color w:val="353535"/>
          <w:sz w:val="24"/>
          <w:szCs w:val="24"/>
          <w:lang w:val="en-US"/>
        </w:rPr>
        <w:t xml:space="preserve">Meyer J. W., Rowan B. Institutionalized organizations: Formal structure as myth and ceremony // American Journal of Sociology. </w:t>
      </w: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1977. V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ol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. 83, № 2. P. 340–363.</w:t>
      </w:r>
    </w:p>
    <w:p w14:paraId="00000011" w14:textId="77777777" w:rsidR="007E2118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 w:rsidRPr="00E91B53">
        <w:rPr>
          <w:rFonts w:ascii="Times New Roman" w:eastAsia="Times New Roman" w:hAnsi="Times New Roman" w:cs="Times New Roman"/>
          <w:color w:val="353535"/>
          <w:sz w:val="24"/>
          <w:szCs w:val="24"/>
          <w:lang w:val="en-US"/>
        </w:rPr>
        <w:t xml:space="preserve">Murray A., Rhymer J., Sirmon D. G. Humans and technology: Forms of conjoined agency in organizations // Academy of Management Review. </w:t>
      </w: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2021. V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ol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. 46, № 3. P. 552–571.</w:t>
      </w:r>
    </w:p>
    <w:p w14:paraId="00000012" w14:textId="77777777" w:rsidR="007E2118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proofErr w:type="spellStart"/>
      <w:r w:rsidRPr="00E91B53">
        <w:rPr>
          <w:rFonts w:ascii="Times New Roman" w:eastAsia="Times New Roman" w:hAnsi="Times New Roman" w:cs="Times New Roman"/>
          <w:color w:val="353535"/>
          <w:sz w:val="24"/>
          <w:szCs w:val="24"/>
          <w:lang w:val="en-US"/>
        </w:rPr>
        <w:t>Raisch</w:t>
      </w:r>
      <w:proofErr w:type="spellEnd"/>
      <w:r w:rsidRPr="00E91B53">
        <w:rPr>
          <w:rFonts w:ascii="Times New Roman" w:eastAsia="Times New Roman" w:hAnsi="Times New Roman" w:cs="Times New Roman"/>
          <w:color w:val="353535"/>
          <w:sz w:val="24"/>
          <w:szCs w:val="24"/>
          <w:lang w:val="en-US"/>
        </w:rPr>
        <w:t xml:space="preserve"> S., Krakowski S. Artificial intelligence and management: The automation–augmentation paradox // Academy of Management Review. </w:t>
      </w: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2021. V</w:t>
      </w:r>
      <w:proofErr w:type="spellStart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ol</w:t>
      </w:r>
      <w:proofErr w:type="spellEnd"/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. 46, № 1. P. 192–210.</w:t>
      </w:r>
    </w:p>
    <w:p w14:paraId="00000013" w14:textId="77777777" w:rsidR="007E2118" w:rsidRDefault="00000000">
      <w:pPr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</w:rPr>
      </w:pPr>
      <w:r w:rsidRPr="00E91B53">
        <w:rPr>
          <w:rFonts w:ascii="Times New Roman" w:eastAsia="Times New Roman" w:hAnsi="Times New Roman" w:cs="Times New Roman"/>
          <w:color w:val="353535"/>
          <w:sz w:val="24"/>
          <w:szCs w:val="24"/>
          <w:lang w:val="en-US"/>
        </w:rPr>
        <w:t xml:space="preserve">Schumpeter J. A. The theory of economic development. Cambridge, MA: Harvard University Press. </w:t>
      </w:r>
      <w:r>
        <w:rPr>
          <w:rFonts w:ascii="Times New Roman" w:eastAsia="Times New Roman" w:hAnsi="Times New Roman" w:cs="Times New Roman"/>
          <w:color w:val="353535"/>
          <w:sz w:val="24"/>
          <w:szCs w:val="24"/>
        </w:rPr>
        <w:t>1934.</w:t>
      </w:r>
    </w:p>
    <w:p w14:paraId="00000014" w14:textId="77777777" w:rsidR="007E2118" w:rsidRDefault="007E2118">
      <w:pPr>
        <w:shd w:val="clear" w:color="auto" w:fill="FFFFFF"/>
        <w:spacing w:after="160" w:line="438" w:lineRule="auto"/>
        <w:rPr>
          <w:rFonts w:ascii="Roboto" w:eastAsia="Roboto" w:hAnsi="Roboto" w:cs="Roboto"/>
          <w:color w:val="353535"/>
          <w:sz w:val="23"/>
          <w:szCs w:val="23"/>
        </w:rPr>
      </w:pPr>
    </w:p>
    <w:p w14:paraId="00000015" w14:textId="77777777" w:rsidR="007E2118" w:rsidRDefault="007E2118"/>
    <w:p w14:paraId="00000016" w14:textId="77777777" w:rsidR="007E2118" w:rsidRDefault="007E2118"/>
    <w:sectPr w:rsidR="007E2118" w:rsidSect="00E91B53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2D8BAB-E6B2-1E46-8202-F4EEFC38A484}"/>
    <w:embedBold r:id="rId2" w:fontKey="{D8444247-69BF-E94E-8FD4-6084AEED5D29}"/>
    <w:embedItalic r:id="rId3" w:fontKey="{79B549DD-9148-3F49-9791-DAFB685A8BFA}"/>
    <w:embedBoldItalic r:id="rId4" w:fontKey="{FD6F252A-7C55-364F-A1C9-D06E63F1D6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7FC6AE4-1477-2E49-A994-437DF2472BD2}"/>
    <w:embedItalic r:id="rId6" w:fontKey="{9F5FA5C6-187B-7F4E-BE77-56B464918370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017653C8-51F6-E346-82F9-86AB385976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2FA9D06-4016-5543-BDB2-0A677F48D2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CADD64E-CE4B-B34D-A7D5-4BA495FEFB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1416F"/>
    <w:multiLevelType w:val="multilevel"/>
    <w:tmpl w:val="F46EE5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08778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18"/>
    <w:rsid w:val="007E2118"/>
    <w:rsid w:val="00DD2477"/>
    <w:rsid w:val="00E9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03DFD0"/>
  <w15:docId w15:val="{1281977B-6604-FA46-B8EA-64270FB2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571</Words>
  <Characters>3259</Characters>
  <Application>Microsoft Office Word</Application>
  <DocSecurity>0</DocSecurity>
  <Lines>27</Lines>
  <Paragraphs>7</Paragraphs>
  <ScaleCrop>false</ScaleCrop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Abdukhalilov Otabek Sultanbekovich</cp:lastModifiedBy>
  <cp:revision>2</cp:revision>
  <dcterms:created xsi:type="dcterms:W3CDTF">2026-03-02T13:48:00Z</dcterms:created>
  <dcterms:modified xsi:type="dcterms:W3CDTF">2026-03-02T13:51:00Z</dcterms:modified>
</cp:coreProperties>
</file>