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777" w:rsidRDefault="00B52777" w:rsidP="008862E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Ценовой соинвест</w:t>
      </w:r>
      <w:r w:rsidRPr="00B52777">
        <w:rPr>
          <w:rFonts w:ascii="Times New Roman" w:hAnsi="Times New Roman" w:cs="Times New Roman"/>
          <w:b/>
          <w:sz w:val="24"/>
        </w:rPr>
        <w:t xml:space="preserve"> как фактор повышения конкурентоспособности маркетплейсов в условиях цифровизации розничной торговли</w:t>
      </w:r>
    </w:p>
    <w:p w:rsidR="00B52777" w:rsidRDefault="00B52777" w:rsidP="008862EC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B52777">
        <w:rPr>
          <w:rFonts w:ascii="Times New Roman" w:hAnsi="Times New Roman" w:cs="Times New Roman"/>
          <w:b/>
          <w:i/>
          <w:sz w:val="24"/>
        </w:rPr>
        <w:t>Виноградов Д.А.</w:t>
      </w:r>
    </w:p>
    <w:p w:rsidR="00B52777" w:rsidRDefault="00B52777" w:rsidP="008862EC">
      <w:pPr>
        <w:spacing w:after="12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</w:t>
      </w:r>
      <w:r w:rsidRPr="00B52777">
        <w:rPr>
          <w:rFonts w:ascii="Times New Roman" w:hAnsi="Times New Roman" w:cs="Times New Roman"/>
          <w:sz w:val="24"/>
        </w:rPr>
        <w:t>спирант</w:t>
      </w:r>
    </w:p>
    <w:p w:rsidR="00B52777" w:rsidRDefault="00B52777" w:rsidP="008862EC">
      <w:pPr>
        <w:spacing w:after="120" w:line="240" w:lineRule="auto"/>
        <w:jc w:val="center"/>
        <w:rPr>
          <w:rFonts w:ascii="Times New Roman" w:hAnsi="Times New Roman" w:cs="Times New Roman"/>
          <w:sz w:val="24"/>
        </w:rPr>
      </w:pPr>
      <w:r w:rsidRPr="00B52777">
        <w:rPr>
          <w:rFonts w:ascii="Times New Roman" w:hAnsi="Times New Roman" w:cs="Times New Roman"/>
          <w:sz w:val="24"/>
        </w:rPr>
        <w:t>ФГБОУ ВО «Тверской государственный университет»</w:t>
      </w:r>
      <w:r>
        <w:rPr>
          <w:rFonts w:ascii="Times New Roman" w:hAnsi="Times New Roman" w:cs="Times New Roman"/>
          <w:sz w:val="24"/>
        </w:rPr>
        <w:t>, Институт экономики и управления, г. Тверь, Российская Федерация</w:t>
      </w:r>
    </w:p>
    <w:p w:rsidR="00B52777" w:rsidRPr="00B52777" w:rsidRDefault="00B52777" w:rsidP="008862EC">
      <w:pPr>
        <w:spacing w:after="12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dvinograd</w:t>
      </w:r>
      <w:r w:rsidRPr="00B52777">
        <w:rPr>
          <w:rFonts w:ascii="Times New Roman" w:hAnsi="Times New Roman" w:cs="Times New Roman"/>
          <w:sz w:val="24"/>
        </w:rPr>
        <w:t>2001@</w:t>
      </w:r>
      <w:r>
        <w:rPr>
          <w:rFonts w:ascii="Times New Roman" w:hAnsi="Times New Roman" w:cs="Times New Roman"/>
          <w:sz w:val="24"/>
          <w:lang w:val="en-US"/>
        </w:rPr>
        <w:t>gmail</w:t>
      </w:r>
      <w:r w:rsidRPr="00B5277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lang w:val="en-US"/>
        </w:rPr>
        <w:t>com</w:t>
      </w:r>
    </w:p>
    <w:p w:rsidR="00636FCC" w:rsidRPr="00636FCC" w:rsidRDefault="00636FCC" w:rsidP="008862EC">
      <w:pPr>
        <w:spacing w:after="12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636FCC">
        <w:rPr>
          <w:rFonts w:ascii="Times New Roman" w:hAnsi="Times New Roman" w:cs="Times New Roman"/>
          <w:sz w:val="24"/>
        </w:rPr>
        <w:t xml:space="preserve">Цифровизация обусловила радикальную трансформацию розничную торговли в России. По итогам 2025 г. объем интернет-торговли в России увеличился на 11,5% по сравнению с предыдущим годом и достиг 11,5 трлн руб., при этом доля интернет-торговли от совокупного объема розничных продаж возросла в годовом выражении с 16,2% до </w:t>
      </w:r>
      <w:r w:rsidR="00B73706">
        <w:rPr>
          <w:rFonts w:ascii="Times New Roman" w:hAnsi="Times New Roman" w:cs="Times New Roman"/>
          <w:sz w:val="24"/>
        </w:rPr>
        <w:br/>
      </w:r>
      <w:r w:rsidRPr="00636FCC">
        <w:rPr>
          <w:rFonts w:ascii="Times New Roman" w:hAnsi="Times New Roman" w:cs="Times New Roman"/>
          <w:sz w:val="24"/>
        </w:rPr>
        <w:t>18,8%</w:t>
      </w:r>
      <w:r w:rsidR="00B73706">
        <w:rPr>
          <w:rFonts w:ascii="Times New Roman" w:hAnsi="Times New Roman" w:cs="Times New Roman"/>
          <w:sz w:val="24"/>
        </w:rPr>
        <w:t xml:space="preserve"> [1</w:t>
      </w:r>
      <w:r w:rsidR="00B73706" w:rsidRPr="00B73706">
        <w:rPr>
          <w:rFonts w:ascii="Times New Roman" w:hAnsi="Times New Roman" w:cs="Times New Roman"/>
          <w:sz w:val="24"/>
        </w:rPr>
        <w:t>]</w:t>
      </w:r>
      <w:r w:rsidRPr="00636FCC">
        <w:rPr>
          <w:rFonts w:ascii="Times New Roman" w:hAnsi="Times New Roman" w:cs="Times New Roman"/>
          <w:sz w:val="24"/>
        </w:rPr>
        <w:t>. Доминирующим каналом электронной коммерции, формирующим до 80% от совокупного объема онлайн-продаж, являются маркетплейсы — двусторонние онлайн-платформы, выполняющие посреднические услуги между продавцами и покупателями</w:t>
      </w:r>
      <w:r w:rsidR="00B73706" w:rsidRPr="00B73706">
        <w:rPr>
          <w:rFonts w:ascii="Times New Roman" w:hAnsi="Times New Roman" w:cs="Times New Roman"/>
          <w:sz w:val="24"/>
        </w:rPr>
        <w:t xml:space="preserve"> [2]</w:t>
      </w:r>
      <w:r w:rsidRPr="00636FCC">
        <w:rPr>
          <w:rFonts w:ascii="Times New Roman" w:hAnsi="Times New Roman" w:cs="Times New Roman"/>
          <w:sz w:val="24"/>
        </w:rPr>
        <w:t xml:space="preserve">. </w:t>
      </w:r>
    </w:p>
    <w:p w:rsidR="00B52777" w:rsidRDefault="00636FCC" w:rsidP="008862EC">
      <w:pPr>
        <w:spacing w:after="12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636FCC">
        <w:rPr>
          <w:rFonts w:ascii="Times New Roman" w:hAnsi="Times New Roman" w:cs="Times New Roman"/>
          <w:sz w:val="24"/>
        </w:rPr>
        <w:t>Текущая конъюнктура рынка характеризуется высокой степенью консолидации. По итогам первого полугодия 2025 г. совокупная доля двух крупнейших игроков на рынке электронной коммерции, а именно Ozon и Wildberries, составила около 60%</w:t>
      </w:r>
      <w:r w:rsidR="00B73706" w:rsidRPr="00B73706">
        <w:rPr>
          <w:rFonts w:ascii="Times New Roman" w:hAnsi="Times New Roman" w:cs="Times New Roman"/>
          <w:sz w:val="24"/>
        </w:rPr>
        <w:t xml:space="preserve"> [3]</w:t>
      </w:r>
      <w:r w:rsidRPr="00636FCC">
        <w:rPr>
          <w:rFonts w:ascii="Times New Roman" w:hAnsi="Times New Roman" w:cs="Times New Roman"/>
          <w:sz w:val="24"/>
        </w:rPr>
        <w:t>. Консолидация рынка, обусловливающая возможность оперативного сравнения предложений на нескольких платформах, высокая степень пересечения ассортиментного предложения, низкая дифференциация качества пользовательского опыта поиска и выбора товаров за счет развития алгоритмов ранжирования и системы фильтров, а также сопоставимость параметров логистического сервиса формируют низкие издержки переключения потребителей между площадками. В условиях, когда эксклюзивная аудитория (доля пользователей, которые посещали только один маркетплейс) не превышает 13% от месячной аудитории, ключевым фактором конкурентоспособности в борьбе за потребителя с</w:t>
      </w:r>
      <w:r w:rsidR="00B52777">
        <w:rPr>
          <w:rFonts w:ascii="Times New Roman" w:hAnsi="Times New Roman" w:cs="Times New Roman"/>
          <w:sz w:val="24"/>
        </w:rPr>
        <w:t>тановится ценовое предложение</w:t>
      </w:r>
      <w:r w:rsidR="00B73706" w:rsidRPr="00B73706">
        <w:rPr>
          <w:rFonts w:ascii="Times New Roman" w:hAnsi="Times New Roman" w:cs="Times New Roman"/>
          <w:sz w:val="24"/>
        </w:rPr>
        <w:t xml:space="preserve"> [4]</w:t>
      </w:r>
      <w:bookmarkStart w:id="0" w:name="_GoBack"/>
      <w:bookmarkEnd w:id="0"/>
      <w:r w:rsidR="00B52777">
        <w:rPr>
          <w:rFonts w:ascii="Times New Roman" w:hAnsi="Times New Roman" w:cs="Times New Roman"/>
          <w:sz w:val="24"/>
        </w:rPr>
        <w:t xml:space="preserve">. </w:t>
      </w:r>
    </w:p>
    <w:p w:rsidR="00636FCC" w:rsidRPr="00636FCC" w:rsidRDefault="00B52777" w:rsidP="008862EC">
      <w:pPr>
        <w:spacing w:after="12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="00636FCC" w:rsidRPr="00636FCC">
        <w:rPr>
          <w:rFonts w:ascii="Times New Roman" w:hAnsi="Times New Roman" w:cs="Times New Roman"/>
          <w:sz w:val="24"/>
        </w:rPr>
        <w:t>месте с тем категорийная разнородность ассортимента, зависимость ценового предложения от политики продавцов, а также иные институциональные особенности платформенной модели торговли затрудняют реализацию маркетплейсами единой ценовой политики. Традиционные инструменты ценового стимулирования спроса, включая промокоды, также характеризуются ограниченной эффективностью вследствие высокой чувствительности потребителей к подобным механикам, а также сложностей, связанных с пользовательским интерфейсом и сравнением итоговой цены. В условиях неоднородности ассортимента, а также дифференцированной структуры комиссий маркетплейсов массовые инструменты предоставления скидки также могут существенно снижать экономическую эффективность площадок, например, в случае их применения пользователями для покупки товаров с ни</w:t>
      </w:r>
      <w:r>
        <w:rPr>
          <w:rFonts w:ascii="Times New Roman" w:hAnsi="Times New Roman" w:cs="Times New Roman"/>
          <w:sz w:val="24"/>
        </w:rPr>
        <w:t xml:space="preserve">зкой маржинальностью. </w:t>
      </w:r>
    </w:p>
    <w:p w:rsidR="00B52777" w:rsidRDefault="00636FCC" w:rsidP="008862EC">
      <w:pPr>
        <w:spacing w:after="12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636FCC">
        <w:rPr>
          <w:rFonts w:ascii="Times New Roman" w:hAnsi="Times New Roman" w:cs="Times New Roman"/>
          <w:sz w:val="24"/>
        </w:rPr>
        <w:t>В подобных условиях для маркетплейсов усиливается актуальность гибридных инструментов ценового стимулирования, которые обеспечивают наиболее экономически эффективное и конкурентоспособное ценовое предложение по отдельным товарам с учетом ценовой эластичности спроса, а также динамики цен на товары-аналоги на конкурирующих площадках. Данную функцию выполняет механика соинвестирования площадкой в цену продавца (далее — Ценовой соинвест), предусматривающая распределение ценовой нагрузки между маркетплейсом и селлером посредством стимулирования последнего к обеспечению наиболее привлека</w:t>
      </w:r>
      <w:r w:rsidR="00B52777">
        <w:rPr>
          <w:rFonts w:ascii="Times New Roman" w:hAnsi="Times New Roman" w:cs="Times New Roman"/>
          <w:sz w:val="24"/>
        </w:rPr>
        <w:t xml:space="preserve">тельного ценового предложения. </w:t>
      </w:r>
    </w:p>
    <w:p w:rsidR="00B52777" w:rsidRDefault="00636FCC" w:rsidP="008862EC">
      <w:pPr>
        <w:spacing w:after="12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636FCC">
        <w:rPr>
          <w:rFonts w:ascii="Times New Roman" w:hAnsi="Times New Roman" w:cs="Times New Roman"/>
          <w:sz w:val="24"/>
        </w:rPr>
        <w:t xml:space="preserve">Таким образом, Ценовой соинвест — это механизм эффективного и селективного инвестирования цифровой площадкой в цену, устанавливаемую продавцами, с целью снижения потребительской цены на алгоритмически определяемые товары, а также </w:t>
      </w:r>
      <w:r w:rsidRPr="00636FCC">
        <w:rPr>
          <w:rFonts w:ascii="Times New Roman" w:hAnsi="Times New Roman" w:cs="Times New Roman"/>
          <w:sz w:val="24"/>
        </w:rPr>
        <w:lastRenderedPageBreak/>
        <w:t xml:space="preserve">обеспечения наиболее выгодного или конкурентоспособного предложения на рынке. Отличительной особенностью данного инструмента является то, что величина скидки между ценой, устанавливаемой продавцом, и ценой продажи компенсируется маркетплейсом продавцу в виде специальных баллов, которые в дальнейшем автоматически списываются в счет уменьшений размера устанавливаемой </w:t>
      </w:r>
      <w:r w:rsidR="00B52777" w:rsidRPr="00636FCC">
        <w:rPr>
          <w:rFonts w:ascii="Times New Roman" w:hAnsi="Times New Roman" w:cs="Times New Roman"/>
          <w:sz w:val="24"/>
        </w:rPr>
        <w:t>площадкой</w:t>
      </w:r>
      <w:r w:rsidRPr="00636FCC">
        <w:rPr>
          <w:rFonts w:ascii="Times New Roman" w:hAnsi="Times New Roman" w:cs="Times New Roman"/>
          <w:sz w:val="24"/>
        </w:rPr>
        <w:t xml:space="preserve"> комиссии, оплаты дополнительных услуг, либо конвертируются в денежны</w:t>
      </w:r>
      <w:r w:rsidR="00B52777">
        <w:rPr>
          <w:rFonts w:ascii="Times New Roman" w:hAnsi="Times New Roman" w:cs="Times New Roman"/>
          <w:sz w:val="24"/>
        </w:rPr>
        <w:t>е средства, доступные к выводу.</w:t>
      </w:r>
    </w:p>
    <w:p w:rsidR="00636FCC" w:rsidRDefault="00636FCC" w:rsidP="008862EC">
      <w:pPr>
        <w:spacing w:after="12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636FCC">
        <w:rPr>
          <w:rFonts w:ascii="Times New Roman" w:hAnsi="Times New Roman" w:cs="Times New Roman"/>
          <w:sz w:val="24"/>
        </w:rPr>
        <w:t xml:space="preserve">Стимулирование площадкой продавца к обеспечению наиболее привлекательного ценового предложения осуществляется за счет сущности Ценового индекса - отношения цены, устанавливаемой продавцом на конкретный товар, к цене на товары-аналоги других продавцов на аналогичной площадке, а также на других площадках. Величина Ценового индекса является одним из ключевых факторов, </w:t>
      </w:r>
      <w:r w:rsidR="00B52777" w:rsidRPr="00636FCC">
        <w:rPr>
          <w:rFonts w:ascii="Times New Roman" w:hAnsi="Times New Roman" w:cs="Times New Roman"/>
          <w:sz w:val="24"/>
        </w:rPr>
        <w:t>определяющих вероятность</w:t>
      </w:r>
      <w:r w:rsidRPr="00636FCC">
        <w:rPr>
          <w:rFonts w:ascii="Times New Roman" w:hAnsi="Times New Roman" w:cs="Times New Roman"/>
          <w:sz w:val="24"/>
        </w:rPr>
        <w:t xml:space="preserve"> предоставления скидки на товар в рамках механизма Ценового соинвеста. Чем ниже величина индекса, тем выше вероятность предоставления скидки с целью обеспечения лучшего ценового предложения на рынке. К другим параметрам относятся ценовая эластичность спроса на товар, исторические данные о его продажах, категорийная принадлежность, качество наполнения карточки о товаре и т.д. Эффективная величина скидки определяется с учетом величины Ценового индекса, размера комиссии, юнит-экономики товара, а также эластичности спроса. Селективность механизма выражается в предоставлении скидки на ограниченный перечень товаров, наиболее соответствующих критериям отбора, устанавливаемых площадкой. Механизм также учитывает фактор сезонного спроса на отдельные категории товаров, что позволяет маркетплейсам максимизировать инкрементальный оборот от </w:t>
      </w:r>
      <w:r w:rsidR="008862EC">
        <w:rPr>
          <w:rFonts w:ascii="Times New Roman" w:hAnsi="Times New Roman" w:cs="Times New Roman"/>
          <w:sz w:val="24"/>
        </w:rPr>
        <w:t>реализации релевантных товаров.</w:t>
      </w:r>
    </w:p>
    <w:p w:rsidR="00BC10AD" w:rsidRDefault="008862EC" w:rsidP="00211EE9">
      <w:pPr>
        <w:spacing w:after="12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8862EC">
        <w:rPr>
          <w:rFonts w:ascii="Times New Roman" w:hAnsi="Times New Roman" w:cs="Times New Roman"/>
          <w:sz w:val="24"/>
        </w:rPr>
        <w:t>По результатам проведенного исследования определено, что в условиях высокой ценовой прозрачности, а также низких издержек переключения между платформами электронной коммерции ключевым элементом конкурентной борьбы между маркетплейсами становится ценовой фактор. Издержки, связанные с традиционными механизмами улучшения ценового предложения, а также специфика платформенной экономики актуализирует потребность в эффективных инструментах ценового стимулирования. Данную функцию выполняет Ценовой соинвест, позволяющий площадкам селективно обеспечивать конкурент</w:t>
      </w:r>
      <w:r>
        <w:rPr>
          <w:rFonts w:ascii="Times New Roman" w:hAnsi="Times New Roman" w:cs="Times New Roman"/>
          <w:sz w:val="24"/>
        </w:rPr>
        <w:t xml:space="preserve">оспособное ценовое предложение и максимизировать </w:t>
      </w:r>
      <w:r w:rsidRPr="008862EC">
        <w:rPr>
          <w:rFonts w:ascii="Times New Roman" w:hAnsi="Times New Roman" w:cs="Times New Roman"/>
          <w:sz w:val="24"/>
        </w:rPr>
        <w:t>экономическую эффективность.</w:t>
      </w:r>
    </w:p>
    <w:p w:rsidR="00211EE9" w:rsidRDefault="002C664E" w:rsidP="00211EE9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C664E">
        <w:rPr>
          <w:rFonts w:ascii="Times New Roman" w:hAnsi="Times New Roman" w:cs="Times New Roman"/>
          <w:b/>
          <w:sz w:val="24"/>
        </w:rPr>
        <w:t>Литература</w:t>
      </w:r>
    </w:p>
    <w:p w:rsidR="002C664E" w:rsidRDefault="002C664E" w:rsidP="002C664E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2C664E">
        <w:rPr>
          <w:rFonts w:ascii="Times New Roman" w:hAnsi="Times New Roman" w:cs="Times New Roman"/>
          <w:sz w:val="24"/>
        </w:rPr>
        <w:t>Объем интернет-торговли в России достиг 11,5 трлн рублей // Ведомости. 2026. URL: https://www.vedomosti.ru/business/news/2026/02/19/1177611-obem-internet-torgovli</w:t>
      </w:r>
      <w:r w:rsidR="00B73706">
        <w:rPr>
          <w:rFonts w:ascii="Times New Roman" w:hAnsi="Times New Roman" w:cs="Times New Roman"/>
          <w:sz w:val="24"/>
        </w:rPr>
        <w:t xml:space="preserve"> (дата обращения: 07.03.2026).</w:t>
      </w:r>
    </w:p>
    <w:p w:rsidR="00B73706" w:rsidRPr="00B73706" w:rsidRDefault="00B73706" w:rsidP="00B73706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2C664E">
        <w:rPr>
          <w:rFonts w:ascii="Times New Roman" w:hAnsi="Times New Roman" w:cs="Times New Roman"/>
          <w:sz w:val="24"/>
        </w:rPr>
        <w:t xml:space="preserve">Доля маркетплейсов в онлайн-торговле впервые снизилась </w:t>
      </w:r>
      <w:r>
        <w:rPr>
          <w:rFonts w:ascii="Times New Roman" w:hAnsi="Times New Roman" w:cs="Times New Roman"/>
          <w:sz w:val="24"/>
        </w:rPr>
        <w:t xml:space="preserve">// New </w:t>
      </w:r>
      <w:proofErr w:type="spellStart"/>
      <w:r>
        <w:rPr>
          <w:rFonts w:ascii="Times New Roman" w:hAnsi="Times New Roman" w:cs="Times New Roman"/>
          <w:sz w:val="24"/>
        </w:rPr>
        <w:t>Retail</w:t>
      </w:r>
      <w:proofErr w:type="spellEnd"/>
      <w:r>
        <w:rPr>
          <w:rFonts w:ascii="Times New Roman" w:hAnsi="Times New Roman" w:cs="Times New Roman"/>
          <w:sz w:val="24"/>
        </w:rPr>
        <w:t>. URL: https://new</w:t>
      </w:r>
      <w:r w:rsidRPr="00B73706">
        <w:rPr>
          <w:rFonts w:ascii="Times New Roman" w:hAnsi="Times New Roman" w:cs="Times New Roman"/>
          <w:sz w:val="24"/>
        </w:rPr>
        <w:t>-</w:t>
      </w:r>
      <w:r w:rsidRPr="002C664E">
        <w:rPr>
          <w:rFonts w:ascii="Times New Roman" w:hAnsi="Times New Roman" w:cs="Times New Roman"/>
          <w:sz w:val="24"/>
        </w:rPr>
        <w:t>retail.ru/novosti/retail/dolya_marketpleysov_v_onlayn_torgo</w:t>
      </w:r>
      <w:r>
        <w:rPr>
          <w:rFonts w:ascii="Times New Roman" w:hAnsi="Times New Roman" w:cs="Times New Roman"/>
          <w:sz w:val="24"/>
        </w:rPr>
        <w:t>vle_vpervye_snizilas/</w:t>
      </w:r>
      <w:r w:rsidRPr="00B73706">
        <w:rPr>
          <w:rFonts w:ascii="Times New Roman" w:hAnsi="Times New Roman" w:cs="Times New Roman"/>
          <w:sz w:val="24"/>
        </w:rPr>
        <w:t xml:space="preserve"> </w:t>
      </w:r>
      <w:r w:rsidRPr="002C664E">
        <w:rPr>
          <w:rFonts w:ascii="Times New Roman" w:hAnsi="Times New Roman" w:cs="Times New Roman"/>
          <w:sz w:val="24"/>
        </w:rPr>
        <w:t>(дата обращения: 07.03.2026).</w:t>
      </w:r>
    </w:p>
    <w:p w:rsidR="002C664E" w:rsidRPr="002C664E" w:rsidRDefault="002C664E" w:rsidP="002C664E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2C664E">
        <w:rPr>
          <w:rFonts w:ascii="Times New Roman" w:hAnsi="Times New Roman" w:cs="Times New Roman"/>
          <w:sz w:val="24"/>
        </w:rPr>
        <w:t>Финансовые результаты за III квартал 2025 г. // Ozon. 2025. URL: https://www.moex.com/media/finansovye-rezultaty-ozon-3-kv-2025.pdf (дата обращения: 07.03.2026).</w:t>
      </w:r>
    </w:p>
    <w:p w:rsidR="002C664E" w:rsidRPr="002C664E" w:rsidRDefault="002C664E" w:rsidP="002C664E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2C664E">
        <w:rPr>
          <w:rFonts w:ascii="Times New Roman" w:hAnsi="Times New Roman" w:cs="Times New Roman"/>
          <w:sz w:val="24"/>
        </w:rPr>
        <w:t>Специфика аудитории разных маркетплейсов // Деловой мир. URL: https://delovoymir.biz/specifika-auditorii-raznyh-marketpleysov.html (дата обращения: 07.03.2026).</w:t>
      </w:r>
    </w:p>
    <w:sectPr w:rsidR="002C664E" w:rsidRPr="002C6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96156"/>
    <w:multiLevelType w:val="hybridMultilevel"/>
    <w:tmpl w:val="74927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979"/>
    <w:rsid w:val="00211EE9"/>
    <w:rsid w:val="002C664E"/>
    <w:rsid w:val="00636FCC"/>
    <w:rsid w:val="008862EC"/>
    <w:rsid w:val="00B52777"/>
    <w:rsid w:val="00B73706"/>
    <w:rsid w:val="00BC10AD"/>
    <w:rsid w:val="00D8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89DB2"/>
  <w15:chartTrackingRefBased/>
  <w15:docId w15:val="{87B4C9EE-05E7-4896-B824-D72E83D1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64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37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1066</TotalTime>
  <Pages>2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"Тандер"</Company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 Даниил Алексеевич</dc:creator>
  <cp:keywords/>
  <dc:description/>
  <cp:lastModifiedBy>Виноградов Даниил Алексеевич</cp:lastModifiedBy>
  <cp:revision>3</cp:revision>
  <dcterms:created xsi:type="dcterms:W3CDTF">2026-03-06T15:27:00Z</dcterms:created>
  <dcterms:modified xsi:type="dcterms:W3CDTF">2026-03-07T09:25:00Z</dcterms:modified>
</cp:coreProperties>
</file>