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0D739" w14:textId="77777777" w:rsidR="00667D38" w:rsidRDefault="00000000">
      <w:pPr>
        <w:jc w:val="center"/>
      </w:pPr>
      <w:r>
        <w:rPr>
          <w:b/>
        </w:rPr>
        <w:t>Creation of Systems of Directed Evolution for Obtaining Stable sgRNA Dimers</w:t>
      </w:r>
    </w:p>
    <w:p w14:paraId="776D617F" w14:textId="77777777" w:rsidR="00667D38" w:rsidRDefault="00000000">
      <w:pPr>
        <w:spacing w:after="0" w:line="240" w:lineRule="auto"/>
        <w:jc w:val="center"/>
        <w:rPr>
          <w:rFonts w:eastAsia="宋体"/>
          <w:b/>
          <w:bCs/>
          <w:i/>
          <w:lang w:eastAsia="zh-CN"/>
        </w:rPr>
      </w:pPr>
      <w:r>
        <w:rPr>
          <w:rFonts w:eastAsia="宋体" w:hint="eastAsia"/>
          <w:b/>
          <w:bCs/>
          <w:i/>
          <w:lang w:eastAsia="zh-CN"/>
        </w:rPr>
        <w:t>Kexin Zhao</w:t>
      </w:r>
    </w:p>
    <w:p w14:paraId="3A424364" w14:textId="77777777" w:rsidR="00667D38" w:rsidRDefault="00000000">
      <w:pPr>
        <w:spacing w:after="0" w:line="240" w:lineRule="auto"/>
        <w:jc w:val="center"/>
        <w:rPr>
          <w:rFonts w:eastAsia="宋体"/>
          <w:i/>
          <w:lang w:eastAsia="zh-CN"/>
        </w:rPr>
      </w:pPr>
      <w:r>
        <w:rPr>
          <w:rFonts w:eastAsia="宋体" w:hint="eastAsia"/>
          <w:i/>
          <w:lang w:eastAsia="zh-CN"/>
        </w:rPr>
        <w:t>Master in nanobiotechnology</w:t>
      </w:r>
    </w:p>
    <w:p w14:paraId="1B202FB8" w14:textId="77777777" w:rsidR="00667D38" w:rsidRDefault="00000000">
      <w:pPr>
        <w:spacing w:after="0" w:line="240" w:lineRule="auto"/>
        <w:jc w:val="center"/>
        <w:rPr>
          <w:rFonts w:cs="Times New Roman"/>
          <w:i/>
          <w:iCs/>
          <w:color w:val="000000"/>
        </w:rPr>
      </w:pPr>
      <w:r>
        <w:rPr>
          <w:rFonts w:cs="Times New Roman"/>
          <w:i/>
          <w:iCs/>
          <w:color w:val="000000"/>
        </w:rPr>
        <w:t>Shenzhen MSU-BIT University</w:t>
      </w:r>
    </w:p>
    <w:p w14:paraId="3CD357E5" w14:textId="77777777" w:rsidR="00667D38" w:rsidRDefault="00000000">
      <w:pPr>
        <w:spacing w:after="0" w:line="240" w:lineRule="auto"/>
        <w:jc w:val="center"/>
        <w:rPr>
          <w:rFonts w:cs="Times New Roman"/>
          <w:i/>
          <w:iCs/>
          <w:color w:val="000000"/>
        </w:rPr>
      </w:pPr>
      <w:r>
        <w:rPr>
          <w:rFonts w:cs="Times New Roman"/>
          <w:i/>
          <w:iCs/>
          <w:color w:val="000000"/>
        </w:rPr>
        <w:t xml:space="preserve"> Department of Biology, </w:t>
      </w:r>
      <w:r>
        <w:rPr>
          <w:rFonts w:eastAsia="宋体" w:cs="Times New Roman" w:hint="eastAsia"/>
          <w:i/>
          <w:iCs/>
          <w:color w:val="000000"/>
          <w:lang w:eastAsia="zh-CN"/>
        </w:rPr>
        <w:t xml:space="preserve">Shenzhen, </w:t>
      </w:r>
      <w:r>
        <w:rPr>
          <w:rFonts w:cs="Times New Roman"/>
          <w:i/>
          <w:iCs/>
          <w:color w:val="000000"/>
        </w:rPr>
        <w:t>China</w:t>
      </w:r>
    </w:p>
    <w:p w14:paraId="12DFD2EC" w14:textId="77777777" w:rsidR="00667D38" w:rsidRDefault="00000000">
      <w:pPr>
        <w:spacing w:after="0" w:line="240" w:lineRule="auto"/>
        <w:jc w:val="center"/>
        <w:rPr>
          <w:rFonts w:cs="Times New Roman"/>
          <w:i/>
          <w:iCs/>
          <w:color w:val="000000"/>
          <w:lang w:eastAsia="zh-CN"/>
        </w:rPr>
      </w:pPr>
      <w:r>
        <w:rPr>
          <w:rFonts w:cs="Times New Roman"/>
          <w:i/>
          <w:iCs/>
          <w:color w:val="000000"/>
        </w:rPr>
        <w:t>E–</w:t>
      </w:r>
      <w:proofErr w:type="gramStart"/>
      <w:r>
        <w:rPr>
          <w:rFonts w:cs="Times New Roman"/>
          <w:i/>
          <w:iCs/>
          <w:color w:val="000000"/>
        </w:rPr>
        <w:t>mail:</w:t>
      </w:r>
      <w:r>
        <w:rPr>
          <w:rFonts w:cs="Times New Roman" w:hint="eastAsia"/>
          <w:i/>
          <w:iCs/>
          <w:color w:val="000000"/>
          <w:lang w:eastAsia="zh-CN"/>
        </w:rPr>
        <w:t>2120240053@smbu.edu.cn</w:t>
      </w:r>
      <w:proofErr w:type="gramEnd"/>
    </w:p>
    <w:p w14:paraId="2FAB5C56" w14:textId="77777777" w:rsidR="00667D38" w:rsidRDefault="00667D38">
      <w:pPr>
        <w:jc w:val="center"/>
      </w:pPr>
    </w:p>
    <w:p w14:paraId="5C021659" w14:textId="35EFD4F6" w:rsidR="00667D38" w:rsidRDefault="00DF2D55" w:rsidP="00DF2D55">
      <w:pPr>
        <w:spacing w:line="240" w:lineRule="auto"/>
        <w:ind w:firstLine="397"/>
        <w:jc w:val="both"/>
        <w:rPr>
          <w:rFonts w:eastAsia="宋体"/>
          <w:lang w:eastAsia="zh-CN"/>
        </w:rPr>
      </w:pPr>
      <w:r>
        <w:t>The persistence of hepatitis B virus (HBV) is driven by nuclear covalently closed circular DNA (</w:t>
      </w:r>
      <w:proofErr w:type="spellStart"/>
      <w:r>
        <w:t>cccDNA</w:t>
      </w:r>
      <w:proofErr w:type="spellEnd"/>
      <w:r>
        <w:t>), which remains resistant to current therapies</w:t>
      </w:r>
      <w:r w:rsidR="00C20DF2">
        <w:fldChar w:fldCharType="begin"/>
      </w:r>
      <w:r w:rsidR="00C20DF2">
        <w:instrText xml:space="preserve"> ADDIN ZOTERO_ITEM CSL_CITATION {"citationID":"KYDb89i4","properties":{"formattedCitation":"[1]","plainCitation":"[1]","noteIndex":0},"citationItems":[{"id":377,"uris":["http://zotero.org/users/14275397/items/X7PNZ8KI"],"itemData":{"id":377,"type":"article-journal","abstract":"Hepatitis B virus (HBV) infection remains an important issue of global public health. Although current antiviral therapy has dramatically reduced the mortality and morbidity of chronic hepatitis B (CHB), it fails to cure it. Rebound viremia often occurs after stopping antiviral therapy. Persistent HBV covalently closed circular DNA (cccDNA) and integrated DNA under antiviral therapy form the major barrier to eradication of HBV infection. CRISPR-mediated genome editing has emerged as a promising therapeutic approach to speciﬁcally destroy persistent HBV genomes, both cccDNA and integrated DNA, for HBV cure. However, the cleavage of integrated HBV DNA by CRISPR-Cas9 will cause double-strand break (DSB) of host genome, raising a serious safety concern about genome instability and carcinogenesis. The newly developed CRISPR-derived base editors (BEs), which fuse a catalytically disabled nuclease with a nucleobase deaminase enzyme, can be used to permanently inactivate HBV genome by introducing irreversible point mutations for generation of premature stop codons without DSBs of host genome. Although promising, CRISPRmediated base editing still faces daunting challenges before its clinical application, including the base-editing efﬁcacy, the off-target effect, the difﬁculty in ﬁnding conserved target HBV sequences, and in vivo delivery efﬁciency. Several strategies have been adopted to optimize the efﬁciency and speciﬁcity of CRISPR-BEs and to improve in vivo delivery efﬁcacy through novel viral and non-viral delivery approaches. Particularly, the non-viral delivery of Cas9 mRNA and ribonucleoprotein by lipid nanoparticles exhibits attractive potential for liver-targeted delivery in clinical. Along with all progress above, the CRISPR-mediated gene therapy will ultimately achieve HBV cure.","container-title":"Viruses","DOI":"10.3390/v14010004","ISSN":"1999-4915","issue":"1","journalAbbreviation":"Viruses","language":"en","page":"4","source":"DOI.org (Crossref)","title":"Recent Progress and Future Prospective in HBV Cure by CRISPR/Cas","volume":"14","author":[{"family":"Yang","given":"Yu-Chan"},{"family":"Yang","given":"Hung-Chih"}],"issued":{"date-parts":[["2021",12,21]]}}}],"schema":"https://github.com/citation-style-language/schema/raw/master/csl-citation.json"} </w:instrText>
      </w:r>
      <w:r w:rsidR="00C20DF2">
        <w:fldChar w:fldCharType="separate"/>
      </w:r>
      <w:r w:rsidR="00C20DF2" w:rsidRPr="00C20DF2">
        <w:rPr>
          <w:rFonts w:cs="Times New Roman"/>
        </w:rPr>
        <w:t>[1]</w:t>
      </w:r>
      <w:r w:rsidR="00C20DF2">
        <w:fldChar w:fldCharType="end"/>
      </w:r>
      <w:r>
        <w:t xml:space="preserve">. Epigenetic silencing using catalytically inactive CRISPR–Cas9 (dCas9) requires stable and cooperative binding of multiple single guide RNAs (sgRNAs), but identifying optimal sgRNA dimers targeting adjacent sites on HBV </w:t>
      </w:r>
      <w:proofErr w:type="spellStart"/>
      <w:r>
        <w:t>cccDNA</w:t>
      </w:r>
      <w:proofErr w:type="spellEnd"/>
      <w:r>
        <w:t xml:space="preserve"> from large sequence spaces remains a major challenge</w:t>
      </w:r>
      <w:r w:rsidR="00C20DF2">
        <w:fldChar w:fldCharType="begin"/>
      </w:r>
      <w:r w:rsidR="00C20DF2">
        <w:instrText xml:space="preserve"> ADDIN ZOTERO_ITEM CSL_CITATION {"citationID":"5a0Y8YC0","properties":{"formattedCitation":"[2]","plainCitation":"[2]","noteIndex":0},"citationItems":[{"id":376,"uris":["http://zotero.org/users/14275397/items/BZD3V2AD"],"itemData":{"id":376,"type":"article-journal","abstract":"The persistence of HBV covalently closed circular DNA (cccDNA) and HBV integration into the host genome in infected hepatocytes pose signiﬁcant challenges to the cure of chronic HBV infection. Although CRISPR/Cas9-mediated genome editing shows promise for targeted clearance of viral genomes, a safe and eﬃcient delivery method is currently lacking. Here, we developed a novel approach by combining light-induced heterodimerization and protein acylation to enhance the loading eﬃciency of Cas9 protein into extracellular vesicles (EVs). Moreover, vesicular stomatitis virus-glycoprotein (VSV-G) was incorporated onto the EVs membrane, signiﬁcantly facilitating the endosomal escape of Cas9 protein and increasing its gene editing activity in recipient cells. Our results demonstrated that engineered EVs containing Cas9/ gRNA and VSV-G can eﬀectively reduce viral antigens and cccDNA levels in the HBV-replicating and infected cell models. Notably, we also conﬁrmed the antiviral activity and high safety of the engineered EVs in the HBV-replicating mouse model generated by hydrodynamic injection and the HBV transgenic mouse model. In conclusion, engineered EVs could successfully mediate functional CRISPR/Cas9 delivery both in vitro and in vivo, leading to the clearance of episomal cccDNA and integrated viral DNA fragments, and providing a novel therapeutic approach for curing chronic HBV infection.","container-title":"Emerging Microbes &amp; Infections","DOI":"10.1080/22221751.2023.2284286","ISSN":"2222-1751","issue":"1","journalAbbreviation":"Emerging Microbes &amp; Infections","language":"en","page":"2284286","source":"DOI.org (Crossref)","title":"Engineered extracellular vesicles for delivering functional Cas9/gRNA to eliminate hepatitis B virus cccDNA and integration","volume":"13","author":[{"family":"Zeng","given":"Wanjia"},{"family":"Zheng","given":"Liwei"},{"family":"Li","given":"Yukun"},{"family":"Yang","given":"Jing"},{"family":"Mao","given":"Tianhao"},{"family":"Zhang","given":"Jing"},{"family":"Liu","given":"Yanna"},{"family":"Ning","given":"Jing"},{"family":"Zhang","given":"Ting"},{"family":"Huang","given":"Hongxin"},{"family":"Chen","given":"Xiangmei"},{"family":"Lu","given":"Fengmin"}],"issued":{"date-parts":[["2024",12,31]]}}}],"schema":"https://github.com/citation-style-language/schema/raw/master/csl-citation.json"} </w:instrText>
      </w:r>
      <w:r w:rsidR="00C20DF2">
        <w:fldChar w:fldCharType="separate"/>
      </w:r>
      <w:r w:rsidR="00C20DF2" w:rsidRPr="00C20DF2">
        <w:rPr>
          <w:rFonts w:cs="Times New Roman"/>
        </w:rPr>
        <w:t>[2]</w:t>
      </w:r>
      <w:r w:rsidR="00C20DF2">
        <w:fldChar w:fldCharType="end"/>
      </w:r>
      <w:r>
        <w:t>. To address this,</w:t>
      </w:r>
      <w:r w:rsidR="00E27EA4">
        <w:rPr>
          <w:rFonts w:eastAsia="宋体" w:hint="eastAsia"/>
          <w:lang w:eastAsia="zh-CN"/>
        </w:rPr>
        <w:t xml:space="preserve"> </w:t>
      </w:r>
      <w:r>
        <w:t>two</w:t>
      </w:r>
      <w:r w:rsidR="00E27EA4">
        <w:rPr>
          <w:rFonts w:eastAsia="宋体" w:hint="eastAsia"/>
          <w:lang w:eastAsia="zh-CN"/>
        </w:rPr>
        <w:t xml:space="preserve"> </w:t>
      </w:r>
      <w:r>
        <w:t xml:space="preserve">validated sgRNAs </w:t>
      </w:r>
      <w:r w:rsidR="00E27EA4">
        <w:rPr>
          <w:rFonts w:eastAsia="宋体" w:hint="eastAsia"/>
          <w:lang w:eastAsia="zh-CN"/>
        </w:rPr>
        <w:t xml:space="preserve">were selected </w:t>
      </w:r>
      <w:r>
        <w:t xml:space="preserve">that target adjacent HBV </w:t>
      </w:r>
      <w:proofErr w:type="spellStart"/>
      <w:r>
        <w:t>cccDNA</w:t>
      </w:r>
      <w:proofErr w:type="spellEnd"/>
      <w:r>
        <w:t xml:space="preserve"> sites</w:t>
      </w:r>
      <w:r w:rsidR="00C20DF2">
        <w:fldChar w:fldCharType="begin"/>
      </w:r>
      <w:r w:rsidR="00C20DF2">
        <w:instrText xml:space="preserve"> ADDIN ZOTERO_ITEM CSL_CITATION {"citationID":"WEMmJbCe","properties":{"formattedCitation":"[3]","plainCitation":"[3]","noteIndex":0},"citationItems":[{"id":375,"uris":["http://zotero.org/users/14275397/items/VZQK3QP9"],"itemData":{"id":375,"type":"article-journal","abstract":"Chronic hepatitis B virus (HBV) infections affect over 250 million people worldwide, and over 800,000 are expected to die yearly from complications including cirrhosis and primary hepatocellular carcinoma. While clinically available nucleoside analog-based antiviral therapies inhibit virus production, they cannot cure infections due to the persistence of covalently closed circular (cccDNA) in the nuclei of infected hepatocytes. Hence, the goals of future curative antiviral therapies for chronic hepati tis B are to either eliminate or permanently silence transcription from cccDNA. Novel antiviral approaches building on a better understanding of the mechanisms underlying transcriptional regulation and the stability of HBV cccDNA will be necessary to accom plish such goals. To advance our understanding of cccDNA biology, we have employed a CRISPR/Cas9-based system to produce extrachromosomal circular (ec) DNA from plasmid DNA integrated into the host genome originally developed by Moller et al. [Nucleic Acid Research 46:(22) e131, 2018]. We modified the enhanced green fluorescent protein (EGFP) reporter system to include portions of the HBV genome encoding wild-type and inactive hepatitis B virus X (HBx) proteins on ecDNA to mimic cccDNA. We demonstrated that expression of EGFP is inhibited by the SMC5/6 complex, as is cccDNA, and that HBx expression can reverse transcriptional silencing of ecDNA. Moreover, we demonstrated that ecDNA is lost during cell division. The system described in this report permits investigations on ecDNA and enables large-scale screening of compound libraries for small molecules targeting host factors involved in ecDNA and, by inference, cccDNA transcription, maintenance, and loss during cell division.","container-title":"Journal of Virology","DOI":"10.1128/jvi.01185-23","ISSN":"0022-538X, 1098-5514","issue":"10","journalAbbreviation":"J Virol","language":"en","page":"e01185-23","source":"DOI.org (Crossref)","title":"A CRISPR-based system to investigate HBV cccDNA biology","volume":"97","author":[{"family":"Seeger","given":"Christoph"}],"editor":[{"family":"Ou","given":"J.-H. James"}],"issued":{"date-parts":[["2023",10,31]]}}}],"schema":"https://github.com/citation-style-language/schema/raw/master/csl-citation.json"} </w:instrText>
      </w:r>
      <w:r w:rsidR="00C20DF2">
        <w:fldChar w:fldCharType="separate"/>
      </w:r>
      <w:r w:rsidR="00C20DF2" w:rsidRPr="00C20DF2">
        <w:rPr>
          <w:rFonts w:cs="Times New Roman"/>
        </w:rPr>
        <w:t>[3]</w:t>
      </w:r>
      <w:r w:rsidR="00C20DF2">
        <w:fldChar w:fldCharType="end"/>
      </w:r>
      <w:r>
        <w:t>, using them to construct stable dimers for effective epigenetic silencing.</w:t>
      </w:r>
      <w:r>
        <w:rPr>
          <w:rFonts w:eastAsia="宋体" w:hint="eastAsia"/>
          <w:lang w:eastAsia="zh-CN"/>
        </w:rPr>
        <w:t xml:space="preserve"> </w:t>
      </w:r>
      <w:r w:rsidR="00E27EA4">
        <w:rPr>
          <w:rFonts w:eastAsia="宋体" w:hint="eastAsia"/>
          <w:lang w:eastAsia="zh-CN"/>
        </w:rPr>
        <w:t>Therefore</w:t>
      </w:r>
      <w:r>
        <w:t>,</w:t>
      </w:r>
      <w:r w:rsidR="00E27EA4">
        <w:rPr>
          <w:rFonts w:eastAsia="宋体" w:hint="eastAsia"/>
          <w:lang w:eastAsia="zh-CN"/>
        </w:rPr>
        <w:t xml:space="preserve"> </w:t>
      </w:r>
      <w:r>
        <w:t>a three-plasmid genetic selection system</w:t>
      </w:r>
      <w:r w:rsidR="00CA22E8">
        <w:rPr>
          <w:rFonts w:eastAsia="宋体" w:hint="eastAsia"/>
          <w:lang w:eastAsia="zh-CN"/>
        </w:rPr>
        <w:t xml:space="preserve"> was developed</w:t>
      </w:r>
      <w:r>
        <w:t xml:space="preserve"> in Escherichia coli</w:t>
      </w:r>
      <w:r w:rsidR="003506C6">
        <w:rPr>
          <w:rFonts w:eastAsia="宋体" w:hint="eastAsia"/>
          <w:lang w:eastAsia="zh-CN"/>
        </w:rPr>
        <w:t xml:space="preserve"> </w:t>
      </w:r>
      <w:r>
        <w:t>link</w:t>
      </w:r>
      <w:r w:rsidR="003506C6">
        <w:rPr>
          <w:rFonts w:eastAsia="宋体" w:hint="eastAsia"/>
          <w:lang w:eastAsia="zh-CN"/>
        </w:rPr>
        <w:t>ing</w:t>
      </w:r>
      <w:r>
        <w:t xml:space="preserve"> sgRNA dimer formation to a fluorescence readout. The</w:t>
      </w:r>
      <w:r w:rsidR="00DE0A8A">
        <w:rPr>
          <w:rFonts w:eastAsia="宋体" w:hint="eastAsia"/>
          <w:lang w:eastAsia="zh-CN"/>
        </w:rPr>
        <w:t xml:space="preserve"> </w:t>
      </w:r>
      <w:proofErr w:type="spellStart"/>
      <w:r>
        <w:t>TetR</w:t>
      </w:r>
      <w:proofErr w:type="spellEnd"/>
      <w:r>
        <w:t>–</w:t>
      </w:r>
      <w:proofErr w:type="spellStart"/>
      <w:r>
        <w:t>pTet</w:t>
      </w:r>
      <w:proofErr w:type="spellEnd"/>
      <w:r>
        <w:t xml:space="preserve"> </w:t>
      </w:r>
      <w:r w:rsidR="00DE0A8A">
        <w:rPr>
          <w:rFonts w:eastAsia="宋体" w:hint="eastAsia"/>
          <w:lang w:eastAsia="zh-CN"/>
        </w:rPr>
        <w:t xml:space="preserve">based system </w:t>
      </w:r>
      <w:r>
        <w:t xml:space="preserve">regulatory circuit: dCas9 and sgRNA dimers target two binding sites within the </w:t>
      </w:r>
      <w:proofErr w:type="spellStart"/>
      <w:r>
        <w:t>TetR</w:t>
      </w:r>
      <w:proofErr w:type="spellEnd"/>
      <w:r>
        <w:t xml:space="preserve"> promoter, repressing its expression and thereby activating GFP transcription. These sgRNA dimers, selected based on their ability to form stable kissing-loop structures with dCas9, enhance cooperative DNA binding, reflected in fluorescence intensity which correlates with sgRNA dimer formation efficiency</w:t>
      </w:r>
      <w:r w:rsidR="00ED5CC0">
        <w:fldChar w:fldCharType="begin"/>
      </w:r>
      <w:r w:rsidR="00ED5CC0">
        <w:instrText xml:space="preserve"> ADDIN ZOTERO_ITEM CSL_CITATION {"citationID":"zgyOFDRz","properties":{"formattedCitation":"[4]","plainCitation":"[4]","noteIndex":0},"citationItems":[{"id":374,"uris":["http://zotero.org/users/14275397/items/EZS8URRR"],"itemData":{"id":374,"type":"article-journal","abstract":"Hepatitis B virus (HBV) infection remains a global health challenge. Despite the availability of effective preventive vaccines, millions of people are at risk of cirrhosis and hepatocellular carcinoma. Current drug therapies inhibit viral replication, slow the progression of liver fibrosis and reduce infectivity, but they rarely remove the covalently sealed circular DNA (cccDNA) of the virus that causes HBV persistence. Alternative treatment strategies, including those based on CRISPR/cas9 knockout virus gene, can effectively inhibit HBV replication, so it has a good prospect. During chronic infection, some virus gene knockouts based on CRISPR/cas9 may even lead to cccDNA inactivation. This paper reviews the progress of different HBV CRISPR/cas9, vectors for delivering to the liver, and the current situation of preclinical and clinical research.","container-title":"Immunity, Inflammation and Disease","DOI":"10.1002/iid3.866","ISSN":"2050-4527, 2050-4527","issue":"5","journalAbbreviation":"Immunity Inflam &amp;amp; Disease","language":"en","page":"e866","source":"DOI.org (Crossref)","title":"CRISPR/Cas9 for hepatitis B virus infection treatment","volume":"11","author":[{"family":"Cai","given":"Bo"},{"family":"Chang","given":"Shixue"},{"family":"Tian","given":"Yuhan"},{"family":"Zhen","given":"Shuai"}],"issued":{"date-parts":[["2023",5]]}}}],"schema":"https://github.com/citation-style-language/schema/raw/master/csl-citation.json"} </w:instrText>
      </w:r>
      <w:r w:rsidR="00ED5CC0">
        <w:fldChar w:fldCharType="separate"/>
      </w:r>
      <w:r w:rsidR="00ED5CC0" w:rsidRPr="00ED5CC0">
        <w:rPr>
          <w:rFonts w:cs="Times New Roman"/>
        </w:rPr>
        <w:t>[4]</w:t>
      </w:r>
      <w:r w:rsidR="00ED5CC0">
        <w:fldChar w:fldCharType="end"/>
      </w:r>
      <w:r>
        <w:t>.</w:t>
      </w:r>
      <w:r>
        <w:rPr>
          <w:rFonts w:eastAsia="宋体" w:hint="eastAsia"/>
          <w:lang w:eastAsia="zh-CN"/>
        </w:rPr>
        <w:t xml:space="preserve"> </w:t>
      </w:r>
      <w:r w:rsidR="00C20DF2" w:rsidRPr="00C20DF2">
        <w:t>The system will be validated by tetracycline titration, which is expected to demonstrate a high dynamic range, low background signal, and a robust selection window suitable for high-throughput screening</w:t>
      </w:r>
      <w:r w:rsidR="00ED5CC0">
        <w:fldChar w:fldCharType="begin"/>
      </w:r>
      <w:r w:rsidR="00ED5CC0">
        <w:instrText xml:space="preserve"> ADDIN ZOTERO_ITEM CSL_CITATION {"citationID":"TRsaCOyv","properties":{"formattedCitation":"[5]","plainCitation":"[5]","noteIndex":0},"citationItems":[{"id":381,"uris":["http://zotero.org/users/14275397/items/YSC5A9FK"],"itemData":{"id":381,"type":"article-journal","container-title":"NATURE COMMUNICATIONS","language":"en","source":"Zotero","title":"Manipulation of nuclear architecture through CRISPR-mediated chromosomal looping","author":[{"family":"Morgan","given":"Stefanie L"}]}}],"schema":"https://github.com/citation-style-language/schema/raw/master/csl-citation.json"} </w:instrText>
      </w:r>
      <w:r w:rsidR="00ED5CC0">
        <w:fldChar w:fldCharType="separate"/>
      </w:r>
      <w:r w:rsidR="00ED5CC0" w:rsidRPr="00ED5CC0">
        <w:rPr>
          <w:rFonts w:cs="Times New Roman"/>
        </w:rPr>
        <w:t>[5]</w:t>
      </w:r>
      <w:r w:rsidR="00ED5CC0">
        <w:fldChar w:fldCharType="end"/>
      </w:r>
      <w:r w:rsidR="00C20DF2" w:rsidRPr="00C20DF2">
        <w:t xml:space="preserve">. Correct plasmid assembly and library construction will be confirmed by restriction analysis and sequencing. The system is designed to support both positive (fluorescence) and antibiotic-based selection, enabling efficient enrichment of high-performance sgRNA dimers. This platform will enable high-throughput functional screening of sgRNA dimers based on their biological activity rather than RNA–RNA affinity alone. It will provide a scalable approach for engineering multi-component CRISPR systems and may facilitate the development of improved strategies for epigenetic silencing of HBV </w:t>
      </w:r>
      <w:proofErr w:type="spellStart"/>
      <w:r w:rsidR="00C20DF2" w:rsidRPr="00C20DF2">
        <w:t>cccDNA</w:t>
      </w:r>
      <w:proofErr w:type="spellEnd"/>
      <w:r w:rsidR="00C20DF2" w:rsidRPr="00C20DF2">
        <w:t>.</w:t>
      </w:r>
    </w:p>
    <w:p w14:paraId="1A8E013C" w14:textId="77777777" w:rsidR="0064080D" w:rsidRPr="0064080D" w:rsidRDefault="0064080D" w:rsidP="0064080D">
      <w:pPr>
        <w:spacing w:line="240" w:lineRule="auto"/>
        <w:jc w:val="both"/>
        <w:rPr>
          <w:rFonts w:eastAsia="宋体" w:hint="eastAsia"/>
          <w:lang w:eastAsia="zh-CN"/>
        </w:rPr>
      </w:pPr>
    </w:p>
    <w:p w14:paraId="57203CA2" w14:textId="77777777" w:rsidR="00667D38" w:rsidRDefault="00000000">
      <w:r>
        <w:rPr>
          <w:b/>
        </w:rPr>
        <w:t>References</w:t>
      </w:r>
    </w:p>
    <w:p w14:paraId="4ECAFE7E" w14:textId="77777777" w:rsidR="00ED5CC0" w:rsidRPr="00ED5CC0" w:rsidRDefault="00663DDC" w:rsidP="00ED5CC0">
      <w:pPr>
        <w:pStyle w:val="aff4"/>
        <w:rPr>
          <w:rFonts w:cs="Times New Roman"/>
        </w:rPr>
      </w:pPr>
      <w:r>
        <w:fldChar w:fldCharType="begin"/>
      </w:r>
      <w:r>
        <w:instrText xml:space="preserve"> ADDIN ZOTERO_BIBL {"uncited":[],"omitted":[],"custom":[]} CSL_BIBLIOGRAPHY </w:instrText>
      </w:r>
      <w:r>
        <w:fldChar w:fldCharType="separate"/>
      </w:r>
      <w:r w:rsidR="00ED5CC0" w:rsidRPr="00ED5CC0">
        <w:rPr>
          <w:rFonts w:cs="Times New Roman"/>
        </w:rPr>
        <w:t>[1]</w:t>
      </w:r>
      <w:r w:rsidR="00ED5CC0" w:rsidRPr="00ED5CC0">
        <w:rPr>
          <w:rFonts w:cs="Times New Roman"/>
        </w:rPr>
        <w:tab/>
        <w:t xml:space="preserve">Y.-C. Yang and H.-C. Yang, “Recent Progress and Future Prospective in HBV Cure by CRISPR/Cas,” </w:t>
      </w:r>
      <w:r w:rsidR="00ED5CC0" w:rsidRPr="00ED5CC0">
        <w:rPr>
          <w:rFonts w:cs="Times New Roman"/>
          <w:i/>
          <w:iCs/>
        </w:rPr>
        <w:t>Viruses</w:t>
      </w:r>
      <w:r w:rsidR="00ED5CC0" w:rsidRPr="00ED5CC0">
        <w:rPr>
          <w:rFonts w:cs="Times New Roman"/>
        </w:rPr>
        <w:t xml:space="preserve">, vol. 14, no. 1, p. 4, Dec. 2021, </w:t>
      </w:r>
      <w:proofErr w:type="spellStart"/>
      <w:r w:rsidR="00ED5CC0" w:rsidRPr="00ED5CC0">
        <w:rPr>
          <w:rFonts w:cs="Times New Roman"/>
        </w:rPr>
        <w:t>doi</w:t>
      </w:r>
      <w:proofErr w:type="spellEnd"/>
      <w:r w:rsidR="00ED5CC0" w:rsidRPr="00ED5CC0">
        <w:rPr>
          <w:rFonts w:cs="Times New Roman"/>
        </w:rPr>
        <w:t>: 10.3390/v14010004.</w:t>
      </w:r>
    </w:p>
    <w:p w14:paraId="5C91FA58" w14:textId="77777777" w:rsidR="00ED5CC0" w:rsidRPr="00ED5CC0" w:rsidRDefault="00ED5CC0" w:rsidP="00ED5CC0">
      <w:pPr>
        <w:pStyle w:val="aff4"/>
        <w:rPr>
          <w:rFonts w:cs="Times New Roman"/>
        </w:rPr>
      </w:pPr>
      <w:r w:rsidRPr="00ED5CC0">
        <w:rPr>
          <w:rFonts w:cs="Times New Roman"/>
        </w:rPr>
        <w:t>[2]</w:t>
      </w:r>
      <w:r w:rsidRPr="00ED5CC0">
        <w:rPr>
          <w:rFonts w:cs="Times New Roman"/>
        </w:rPr>
        <w:tab/>
        <w:t xml:space="preserve">W. Zeng </w:t>
      </w:r>
      <w:r w:rsidRPr="00ED5CC0">
        <w:rPr>
          <w:rFonts w:cs="Times New Roman"/>
          <w:i/>
          <w:iCs/>
        </w:rPr>
        <w:t>et al.</w:t>
      </w:r>
      <w:r w:rsidRPr="00ED5CC0">
        <w:rPr>
          <w:rFonts w:cs="Times New Roman"/>
        </w:rPr>
        <w:t xml:space="preserve">, “Engineered extracellular vesicles for delivering functional Cas9/gRNA to eliminate hepatitis B virus </w:t>
      </w:r>
      <w:proofErr w:type="spellStart"/>
      <w:r w:rsidRPr="00ED5CC0">
        <w:rPr>
          <w:rFonts w:cs="Times New Roman"/>
        </w:rPr>
        <w:t>cccDNA</w:t>
      </w:r>
      <w:proofErr w:type="spellEnd"/>
      <w:r w:rsidRPr="00ED5CC0">
        <w:rPr>
          <w:rFonts w:cs="Times New Roman"/>
        </w:rPr>
        <w:t xml:space="preserve"> and integration,” </w:t>
      </w:r>
      <w:r w:rsidRPr="00ED5CC0">
        <w:rPr>
          <w:rFonts w:cs="Times New Roman"/>
          <w:i/>
          <w:iCs/>
        </w:rPr>
        <w:t>Emerg. Microbes Infect.</w:t>
      </w:r>
      <w:r w:rsidRPr="00ED5CC0">
        <w:rPr>
          <w:rFonts w:cs="Times New Roman"/>
        </w:rPr>
        <w:t xml:space="preserve">, vol. 13, no. 1, p. 2284286, Dec. 2024, </w:t>
      </w:r>
      <w:proofErr w:type="spellStart"/>
      <w:r w:rsidRPr="00ED5CC0">
        <w:rPr>
          <w:rFonts w:cs="Times New Roman"/>
        </w:rPr>
        <w:t>doi</w:t>
      </w:r>
      <w:proofErr w:type="spellEnd"/>
      <w:r w:rsidRPr="00ED5CC0">
        <w:rPr>
          <w:rFonts w:cs="Times New Roman"/>
        </w:rPr>
        <w:t>: 10.1080/22221751.2023.2284286.</w:t>
      </w:r>
    </w:p>
    <w:p w14:paraId="673DE240" w14:textId="77777777" w:rsidR="00ED5CC0" w:rsidRPr="00ED5CC0" w:rsidRDefault="00ED5CC0" w:rsidP="00ED5CC0">
      <w:pPr>
        <w:pStyle w:val="aff4"/>
        <w:rPr>
          <w:rFonts w:cs="Times New Roman"/>
        </w:rPr>
      </w:pPr>
      <w:r w:rsidRPr="00ED5CC0">
        <w:rPr>
          <w:rFonts w:cs="Times New Roman"/>
        </w:rPr>
        <w:t>[3]</w:t>
      </w:r>
      <w:r w:rsidRPr="00ED5CC0">
        <w:rPr>
          <w:rFonts w:cs="Times New Roman"/>
        </w:rPr>
        <w:tab/>
        <w:t xml:space="preserve">C. Seeger, “A CRISPR-based system to investigate HBV </w:t>
      </w:r>
      <w:proofErr w:type="spellStart"/>
      <w:r w:rsidRPr="00ED5CC0">
        <w:rPr>
          <w:rFonts w:cs="Times New Roman"/>
        </w:rPr>
        <w:t>cccDNA</w:t>
      </w:r>
      <w:proofErr w:type="spellEnd"/>
      <w:r w:rsidRPr="00ED5CC0">
        <w:rPr>
          <w:rFonts w:cs="Times New Roman"/>
        </w:rPr>
        <w:t xml:space="preserve"> biology,” </w:t>
      </w:r>
      <w:r w:rsidRPr="00ED5CC0">
        <w:rPr>
          <w:rFonts w:cs="Times New Roman"/>
          <w:i/>
          <w:iCs/>
        </w:rPr>
        <w:t xml:space="preserve">J. </w:t>
      </w:r>
      <w:proofErr w:type="spellStart"/>
      <w:r w:rsidRPr="00ED5CC0">
        <w:rPr>
          <w:rFonts w:cs="Times New Roman"/>
          <w:i/>
          <w:iCs/>
        </w:rPr>
        <w:t>Virol</w:t>
      </w:r>
      <w:proofErr w:type="spellEnd"/>
      <w:r w:rsidRPr="00ED5CC0">
        <w:rPr>
          <w:rFonts w:cs="Times New Roman"/>
          <w:i/>
          <w:iCs/>
        </w:rPr>
        <w:t>.</w:t>
      </w:r>
      <w:r w:rsidRPr="00ED5CC0">
        <w:rPr>
          <w:rFonts w:cs="Times New Roman"/>
        </w:rPr>
        <w:t xml:space="preserve">, vol. 97, no. 10, pp. e01185-23, Oct. 2023, </w:t>
      </w:r>
      <w:proofErr w:type="spellStart"/>
      <w:r w:rsidRPr="00ED5CC0">
        <w:rPr>
          <w:rFonts w:cs="Times New Roman"/>
        </w:rPr>
        <w:t>doi</w:t>
      </w:r>
      <w:proofErr w:type="spellEnd"/>
      <w:r w:rsidRPr="00ED5CC0">
        <w:rPr>
          <w:rFonts w:cs="Times New Roman"/>
        </w:rPr>
        <w:t>: 10.1128/jvi.01185-23.</w:t>
      </w:r>
    </w:p>
    <w:p w14:paraId="4C1D9AC0" w14:textId="77777777" w:rsidR="00ED5CC0" w:rsidRPr="00ED5CC0" w:rsidRDefault="00ED5CC0" w:rsidP="00ED5CC0">
      <w:pPr>
        <w:pStyle w:val="aff4"/>
        <w:rPr>
          <w:rFonts w:cs="Times New Roman"/>
        </w:rPr>
      </w:pPr>
      <w:r w:rsidRPr="00ED5CC0">
        <w:rPr>
          <w:rFonts w:cs="Times New Roman"/>
        </w:rPr>
        <w:t>[4]</w:t>
      </w:r>
      <w:r w:rsidRPr="00ED5CC0">
        <w:rPr>
          <w:rFonts w:cs="Times New Roman"/>
        </w:rPr>
        <w:tab/>
        <w:t xml:space="preserve">B. Cai, S. Chang, Y. Tian, and S. Zhen, “CRISPR/Cas9 for hepatitis B virus infection treatment,” </w:t>
      </w:r>
      <w:r w:rsidRPr="00ED5CC0">
        <w:rPr>
          <w:rFonts w:cs="Times New Roman"/>
          <w:i/>
          <w:iCs/>
        </w:rPr>
        <w:t xml:space="preserve">Immun. </w:t>
      </w:r>
      <w:proofErr w:type="spellStart"/>
      <w:r w:rsidRPr="00ED5CC0">
        <w:rPr>
          <w:rFonts w:cs="Times New Roman"/>
          <w:i/>
          <w:iCs/>
        </w:rPr>
        <w:t>Inflamm</w:t>
      </w:r>
      <w:proofErr w:type="spellEnd"/>
      <w:r w:rsidRPr="00ED5CC0">
        <w:rPr>
          <w:rFonts w:cs="Times New Roman"/>
          <w:i/>
          <w:iCs/>
        </w:rPr>
        <w:t>. Dis.</w:t>
      </w:r>
      <w:r w:rsidRPr="00ED5CC0">
        <w:rPr>
          <w:rFonts w:cs="Times New Roman"/>
        </w:rPr>
        <w:t xml:space="preserve">, vol. 11, no. 5, p. e866, May 2023, </w:t>
      </w:r>
      <w:proofErr w:type="spellStart"/>
      <w:r w:rsidRPr="00ED5CC0">
        <w:rPr>
          <w:rFonts w:cs="Times New Roman"/>
        </w:rPr>
        <w:t>doi</w:t>
      </w:r>
      <w:proofErr w:type="spellEnd"/>
      <w:r w:rsidRPr="00ED5CC0">
        <w:rPr>
          <w:rFonts w:cs="Times New Roman"/>
        </w:rPr>
        <w:t>: 10.1002/iid3.866.</w:t>
      </w:r>
    </w:p>
    <w:p w14:paraId="26C68800" w14:textId="77777777" w:rsidR="00ED5CC0" w:rsidRPr="00ED5CC0" w:rsidRDefault="00ED5CC0" w:rsidP="00ED5CC0">
      <w:pPr>
        <w:pStyle w:val="aff4"/>
        <w:rPr>
          <w:rFonts w:cs="Times New Roman"/>
        </w:rPr>
      </w:pPr>
      <w:r w:rsidRPr="00ED5CC0">
        <w:rPr>
          <w:rFonts w:cs="Times New Roman"/>
        </w:rPr>
        <w:t>[5]</w:t>
      </w:r>
      <w:r w:rsidRPr="00ED5CC0">
        <w:rPr>
          <w:rFonts w:cs="Times New Roman"/>
        </w:rPr>
        <w:tab/>
        <w:t xml:space="preserve">S. L. Morgan, “Manipulation of nuclear architecture through CRISPR-mediated chromosomal looping,” </w:t>
      </w:r>
      <w:r w:rsidRPr="00ED5CC0">
        <w:rPr>
          <w:rFonts w:cs="Times New Roman"/>
          <w:i/>
          <w:iCs/>
        </w:rPr>
        <w:t xml:space="preserve">Nat. </w:t>
      </w:r>
      <w:proofErr w:type="gramStart"/>
      <w:r w:rsidRPr="00ED5CC0">
        <w:rPr>
          <w:rFonts w:cs="Times New Roman"/>
          <w:i/>
          <w:iCs/>
        </w:rPr>
        <w:t>Commun.</w:t>
      </w:r>
      <w:r w:rsidRPr="00ED5CC0">
        <w:rPr>
          <w:rFonts w:cs="Times New Roman"/>
        </w:rPr>
        <w:t>.</w:t>
      </w:r>
      <w:proofErr w:type="gramEnd"/>
    </w:p>
    <w:p w14:paraId="72191E51" w14:textId="2718F199" w:rsidR="00667D38" w:rsidRDefault="00663DDC">
      <w:r>
        <w:fldChar w:fldCharType="end"/>
      </w:r>
    </w:p>
    <w:sectPr w:rsidR="00667D38">
      <w:pgSz w:w="12240" w:h="15840"/>
      <w:pgMar w:top="1134" w:right="1361" w:bottom="1134"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6B50D" w14:textId="77777777" w:rsidR="000C2C39" w:rsidRDefault="000C2C39">
      <w:pPr>
        <w:spacing w:line="240" w:lineRule="auto"/>
      </w:pPr>
      <w:r>
        <w:separator/>
      </w:r>
    </w:p>
  </w:endnote>
  <w:endnote w:type="continuationSeparator" w:id="0">
    <w:p w14:paraId="09F6F546" w14:textId="77777777" w:rsidR="000C2C39" w:rsidRDefault="000C2C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3E7AF" w14:textId="77777777" w:rsidR="000C2C39" w:rsidRDefault="000C2C39">
      <w:pPr>
        <w:spacing w:after="0"/>
      </w:pPr>
      <w:r>
        <w:separator/>
      </w:r>
    </w:p>
  </w:footnote>
  <w:footnote w:type="continuationSeparator" w:id="0">
    <w:p w14:paraId="3369EDB5" w14:textId="77777777" w:rsidR="000C2C39" w:rsidRDefault="000C2C3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248277622">
    <w:abstractNumId w:val="1"/>
  </w:num>
  <w:num w:numId="2" w16cid:durableId="793444844">
    <w:abstractNumId w:val="4"/>
  </w:num>
  <w:num w:numId="3" w16cid:durableId="634987395">
    <w:abstractNumId w:val="5"/>
  </w:num>
  <w:num w:numId="4" w16cid:durableId="64643234">
    <w:abstractNumId w:val="2"/>
  </w:num>
  <w:num w:numId="5" w16cid:durableId="298650542">
    <w:abstractNumId w:val="0"/>
  </w:num>
  <w:num w:numId="6" w16cid:durableId="1548253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2C39"/>
    <w:rsid w:val="0015074B"/>
    <w:rsid w:val="0029639D"/>
    <w:rsid w:val="00326F90"/>
    <w:rsid w:val="003506C6"/>
    <w:rsid w:val="0064080D"/>
    <w:rsid w:val="00663DDC"/>
    <w:rsid w:val="00667D38"/>
    <w:rsid w:val="009C5F61"/>
    <w:rsid w:val="00AA1D8D"/>
    <w:rsid w:val="00B47730"/>
    <w:rsid w:val="00BF2A0C"/>
    <w:rsid w:val="00C20DF2"/>
    <w:rsid w:val="00CA22E8"/>
    <w:rsid w:val="00CB0664"/>
    <w:rsid w:val="00DE0A8A"/>
    <w:rsid w:val="00DF2D55"/>
    <w:rsid w:val="00E27EA4"/>
    <w:rsid w:val="00ED5CC0"/>
    <w:rsid w:val="00FC693F"/>
    <w:rsid w:val="15451DDD"/>
    <w:rsid w:val="1F525822"/>
    <w:rsid w:val="2BB2311B"/>
    <w:rsid w:val="44E32DB2"/>
    <w:rsid w:val="5002767B"/>
    <w:rsid w:val="5FAB0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B6AE51"/>
  <w14:defaultImageDpi w14:val="300"/>
  <w15:docId w15:val="{DBD77CC3-35AD-4D69-A3D2-0282DA196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lsdException w:name="List Bullet" w:unhideWhenUsed="1" w:qFormat="1"/>
    <w:lsdException w:name="List Number" w:unhideWhenUsed="1" w:qFormat="1"/>
    <w:lsdException w:name="List 2" w:unhideWhenUsed="1"/>
    <w:lsdException w:name="List 3" w:unhideWhenUsed="1" w:qFormat="1"/>
    <w:lsdException w:name="List 4" w:semiHidden="1" w:unhideWhenUsed="1"/>
    <w:lsdException w:name="List 5" w:semiHidden="1" w:unhideWhenUsed="1"/>
    <w:lsdException w:name="List Bullet 2" w:unhideWhenUsed="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qFormat="1"/>
    <w:lsdException w:name="Medium Shading 1 Accent 2" w:uiPriority="63"/>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lsdException w:name="Light List Accent 5" w:uiPriority="61"/>
    <w:lsdException w:name="Light Grid Accent 5" w:uiPriority="62" w:qFormat="1"/>
    <w:lsdException w:name="Medium Shading 1 Accent 5" w:uiPriority="63"/>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pPr>
    <w:rPr>
      <w:rFonts w:ascii="Times New Roman" w:eastAsia="Times New Roman" w:hAnsi="Times New Roman"/>
      <w:sz w:val="24"/>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qFormat/>
    <w:pPr>
      <w:ind w:left="1080" w:hanging="360"/>
      <w:contextualSpacing/>
    </w:pPr>
  </w:style>
  <w:style w:type="paragraph" w:styleId="2">
    <w:name w:val="List Number 2"/>
    <w:basedOn w:val="a1"/>
    <w:uiPriority w:val="99"/>
    <w:unhideWhenUsed/>
    <w:qFormat/>
    <w:pPr>
      <w:numPr>
        <w:numId w:val="1"/>
      </w:numPr>
      <w:contextualSpacing/>
    </w:pPr>
  </w:style>
  <w:style w:type="paragraph" w:styleId="a">
    <w:name w:val="List Number"/>
    <w:basedOn w:val="a1"/>
    <w:uiPriority w:val="99"/>
    <w:unhideWhenUsed/>
    <w:qFormat/>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qFormat/>
    <w:pPr>
      <w:numPr>
        <w:numId w:val="3"/>
      </w:numPr>
      <w:contextualSpacing/>
    </w:pPr>
  </w:style>
  <w:style w:type="paragraph" w:styleId="34">
    <w:name w:val="Body Text 3"/>
    <w:basedOn w:val="a1"/>
    <w:link w:val="35"/>
    <w:uiPriority w:val="99"/>
    <w:unhideWhenUsed/>
    <w:qFormat/>
    <w:pPr>
      <w:spacing w:after="120"/>
    </w:pPr>
    <w:rPr>
      <w:sz w:val="16"/>
      <w:szCs w:val="16"/>
    </w:rPr>
  </w:style>
  <w:style w:type="paragraph" w:styleId="30">
    <w:name w:val="List Bullet 3"/>
    <w:basedOn w:val="a1"/>
    <w:uiPriority w:val="99"/>
    <w:unhideWhenUsed/>
    <w:qFormat/>
    <w:pPr>
      <w:numPr>
        <w:numId w:val="4"/>
      </w:numPr>
      <w:contextualSpacing/>
    </w:pPr>
  </w:style>
  <w:style w:type="paragraph" w:styleId="a8">
    <w:name w:val="Body Text"/>
    <w:basedOn w:val="a1"/>
    <w:link w:val="a9"/>
    <w:uiPriority w:val="99"/>
    <w:unhideWhenUsed/>
    <w:pPr>
      <w:spacing w:after="120"/>
    </w:pPr>
  </w:style>
  <w:style w:type="paragraph" w:styleId="3">
    <w:name w:val="List Number 3"/>
    <w:basedOn w:val="a1"/>
    <w:uiPriority w:val="99"/>
    <w:unhideWhenUsed/>
    <w:qFormat/>
    <w:pPr>
      <w:numPr>
        <w:numId w:val="5"/>
      </w:numPr>
      <w:contextualSpacing/>
    </w:pPr>
  </w:style>
  <w:style w:type="paragraph" w:styleId="23">
    <w:name w:val="List 2"/>
    <w:basedOn w:val="a1"/>
    <w:uiPriority w:val="99"/>
    <w:unhideWhenUsed/>
    <w:pPr>
      <w:ind w:left="720" w:hanging="360"/>
      <w:contextualSpacing/>
    </w:pPr>
  </w:style>
  <w:style w:type="paragraph" w:styleId="aa">
    <w:name w:val="List Continue"/>
    <w:basedOn w:val="a1"/>
    <w:uiPriority w:val="99"/>
    <w:unhideWhenUsed/>
    <w:qFormat/>
    <w:pPr>
      <w:spacing w:after="120"/>
      <w:ind w:left="360"/>
      <w:contextualSpacing/>
    </w:pPr>
  </w:style>
  <w:style w:type="paragraph" w:styleId="20">
    <w:name w:val="List Bullet 2"/>
    <w:basedOn w:val="a1"/>
    <w:uiPriority w:val="99"/>
    <w:unhideWhenUsed/>
    <w:pPr>
      <w:numPr>
        <w:numId w:val="6"/>
      </w:numPr>
      <w:contextualSpacing/>
    </w:pPr>
  </w:style>
  <w:style w:type="paragraph" w:styleId="ab">
    <w:name w:val="footer"/>
    <w:basedOn w:val="a1"/>
    <w:link w:val="ac"/>
    <w:uiPriority w:val="99"/>
    <w:unhideWhenUsed/>
    <w:pPr>
      <w:tabs>
        <w:tab w:val="center" w:pos="4680"/>
        <w:tab w:val="right" w:pos="9360"/>
      </w:tabs>
      <w:spacing w:after="0" w:line="240" w:lineRule="auto"/>
    </w:pPr>
  </w:style>
  <w:style w:type="paragraph" w:styleId="ad">
    <w:name w:val="header"/>
    <w:basedOn w:val="a1"/>
    <w:link w:val="ae"/>
    <w:uiPriority w:val="99"/>
    <w:unhideWhenUsed/>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Cs w:val="24"/>
    </w:rPr>
  </w:style>
  <w:style w:type="paragraph" w:styleId="af1">
    <w:name w:val="List"/>
    <w:basedOn w:val="a1"/>
    <w:uiPriority w:val="99"/>
    <w:unhideWhenUsed/>
    <w:pPr>
      <w:ind w:left="360" w:hanging="360"/>
      <w:contextualSpacing/>
    </w:pPr>
  </w:style>
  <w:style w:type="paragraph" w:styleId="24">
    <w:name w:val="Body Text 2"/>
    <w:basedOn w:val="a1"/>
    <w:link w:val="25"/>
    <w:uiPriority w:val="99"/>
    <w:unhideWhenUsed/>
    <w:qFormat/>
    <w:pPr>
      <w:spacing w:after="120" w:line="480" w:lineRule="auto"/>
    </w:pPr>
  </w:style>
  <w:style w:type="paragraph" w:styleId="26">
    <w:name w:val="List Continue 2"/>
    <w:basedOn w:val="a1"/>
    <w:uiPriority w:val="99"/>
    <w:unhideWhenUsed/>
    <w:qFormat/>
    <w:pPr>
      <w:spacing w:after="120"/>
      <w:ind w:left="720"/>
      <w:contextualSpacing/>
    </w:pPr>
  </w:style>
  <w:style w:type="paragraph" w:styleId="36">
    <w:name w:val="List Continue 3"/>
    <w:basedOn w:val="a1"/>
    <w:uiPriority w:val="99"/>
    <w:unhideWhenUsed/>
    <w:qFormat/>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qFormat/>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qFormat/>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qFormat/>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qFormat/>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style>
  <w:style w:type="character" w:customStyle="1" w:styleId="ac">
    <w:name w:val="页脚 字符"/>
    <w:basedOn w:val="a2"/>
    <w:link w:val="ab"/>
    <w:uiPriority w:val="99"/>
  </w:style>
  <w:style w:type="paragraph" w:styleId="afe">
    <w:name w:val="No Spacing"/>
    <w:uiPriority w:val="1"/>
    <w:qFormat/>
    <w:rPr>
      <w:sz w:val="22"/>
      <w:szCs w:val="22"/>
      <w:lang w:eastAsia="en-US"/>
    </w:rPr>
  </w:style>
  <w:style w:type="character" w:customStyle="1" w:styleId="10">
    <w:name w:val="标题 1 字符"/>
    <w:basedOn w:val="a2"/>
    <w:link w:val="1"/>
    <w:uiPriority w:val="9"/>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style>
  <w:style w:type="character" w:customStyle="1" w:styleId="25">
    <w:name w:val="正文文本 2 字符"/>
    <w:basedOn w:val="a2"/>
    <w:link w:val="24"/>
    <w:uiPriority w:val="99"/>
  </w:style>
  <w:style w:type="character" w:customStyle="1" w:styleId="35">
    <w:name w:val="正文文本 3 字符"/>
    <w:basedOn w:val="a2"/>
    <w:link w:val="34"/>
    <w:uiPriority w:val="99"/>
    <w:rPr>
      <w:sz w:val="16"/>
      <w:szCs w:val="16"/>
    </w:rPr>
  </w:style>
  <w:style w:type="character" w:customStyle="1" w:styleId="a6">
    <w:name w:val="宏文本 字符"/>
    <w:basedOn w:val="a2"/>
    <w:link w:val="a5"/>
    <w:uiPriority w:val="99"/>
    <w:qFormat/>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qFormat/>
    <w:rPr>
      <w:i/>
      <w:iCs/>
      <w:color w:val="000000" w:themeColor="text1"/>
    </w:rPr>
  </w:style>
  <w:style w:type="character" w:customStyle="1" w:styleId="40">
    <w:name w:val="标题 4 字符"/>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qFormat/>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 w:type="paragraph" w:styleId="aff4">
    <w:name w:val="Bibliography"/>
    <w:basedOn w:val="a1"/>
    <w:next w:val="a1"/>
    <w:uiPriority w:val="37"/>
    <w:unhideWhenUsed/>
    <w:rsid w:val="00663DDC"/>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1834</Words>
  <Characters>11393</Characters>
  <Application>Microsoft Office Word</Application>
  <DocSecurity>0</DocSecurity>
  <Lines>193</Lines>
  <Paragraphs>81</Paragraphs>
  <ScaleCrop>false</ScaleCrop>
  <Company/>
  <LinksUpToDate>false</LinksUpToDate>
  <CharactersWithSpaces>13146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可心 赵</cp:lastModifiedBy>
  <cp:revision>9</cp:revision>
  <dcterms:created xsi:type="dcterms:W3CDTF">2013-12-23T23:15:00Z</dcterms:created>
  <dcterms:modified xsi:type="dcterms:W3CDTF">2026-04-05T18:32:00Z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eyJoZGlkIjoiYTc2ZGZiNzZiNDVlOGViOWVmM2JhOTY0NGJkNjUyYzgiLCJ1c2VySWQiOiI4MTc4NDYyMDUifQ==</vt:lpwstr>
  </property>
  <property fmtid="{D5CDD505-2E9C-101B-9397-08002B2CF9AE}" pid="3" name="KSOProductBuildVer">
    <vt:lpwstr>2052-12.1.0.25225</vt:lpwstr>
  </property>
  <property fmtid="{D5CDD505-2E9C-101B-9397-08002B2CF9AE}" pid="4" name="ICV">
    <vt:lpwstr>D7EB3BAF972A42DD878D93879364C275_12</vt:lpwstr>
  </property>
  <property fmtid="{D5CDD505-2E9C-101B-9397-08002B2CF9AE}" pid="5" name="GrammarlyDocumentId">
    <vt:lpwstr>aab502bf-9bbd-449b-adac-06a1c41b71d9</vt:lpwstr>
  </property>
  <property fmtid="{D5CDD505-2E9C-101B-9397-08002B2CF9AE}" pid="6" name="ZOTERO_PREF_1">
    <vt:lpwstr>&lt;data data-version="3" zotero-version="7.0.30"&gt;&lt;session id="q1qAWN4d"/&gt;&lt;style id="http://www.zotero.org/styles/ieee" locale="en-US" hasBibliography="1" bibliographyStyleHasBeenSet="1"/&gt;&lt;prefs&gt;&lt;pref name="fieldType" value="Field"/&gt;&lt;pref name="automaticJour</vt:lpwstr>
  </property>
  <property fmtid="{D5CDD505-2E9C-101B-9397-08002B2CF9AE}" pid="7" name="ZOTERO_PREF_2">
    <vt:lpwstr>nalAbbreviations" value="true"/&gt;&lt;/prefs&gt;&lt;/data&gt;</vt:lpwstr>
  </property>
</Properties>
</file>