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DF54F">
      <w:pPr>
        <w:widowControl/>
        <w:jc w:val="center"/>
        <w:rPr>
          <w:rFonts w:ascii="Times New Roman" w:hAnsi="Times New Roman" w:eastAsia="Times New Roman" w:cs="Times New Roman"/>
          <w:b/>
          <w:bCs/>
          <w:color w:val="000000"/>
          <w:kern w:val="0"/>
          <w:sz w:val="24"/>
          <w:lang w:eastAsia="en-US"/>
        </w:rPr>
      </w:pPr>
      <w:r>
        <w:rPr>
          <w:rFonts w:hint="eastAsia" w:ascii="Times New Roman" w:hAnsi="Times New Roman" w:eastAsia="Times New Roman" w:cs="Times New Roman"/>
          <w:b/>
          <w:bCs/>
          <w:color w:val="000000"/>
          <w:kern w:val="0"/>
          <w:sz w:val="24"/>
          <w:lang w:eastAsia="en-US"/>
        </w:rPr>
        <w:t xml:space="preserve">Functional </w:t>
      </w:r>
      <w:r>
        <w:rPr>
          <w:rFonts w:ascii="Times New Roman" w:hAnsi="Times New Roman" w:eastAsia="Times New Roman" w:cs="Times New Roman"/>
          <w:b/>
          <w:bCs/>
          <w:color w:val="000000"/>
          <w:kern w:val="0"/>
          <w:sz w:val="24"/>
          <w:lang w:eastAsia="en-US"/>
        </w:rPr>
        <w:t>Composition</w:t>
      </w:r>
      <w:r>
        <w:rPr>
          <w:rFonts w:hint="eastAsia" w:ascii="Times New Roman" w:hAnsi="Times New Roman" w:eastAsia="Times New Roman" w:cs="Times New Roman"/>
          <w:b/>
          <w:bCs/>
          <w:color w:val="000000"/>
          <w:kern w:val="0"/>
          <w:sz w:val="24"/>
          <w:lang w:eastAsia="en-US"/>
        </w:rPr>
        <w:t xml:space="preserve"> of Testate Amoeba Assemblages in Heterogeneous Milieu</w:t>
      </w:r>
    </w:p>
    <w:p w14:paraId="54C39B7B">
      <w:pPr>
        <w:widowControl/>
        <w:jc w:val="center"/>
        <w:rPr>
          <w:rFonts w:ascii="Times New Roman" w:hAnsi="Times New Roman" w:eastAsia="Times New Roman" w:cs="Times New Roman"/>
          <w:b/>
          <w:bCs/>
          <w:i/>
          <w:iCs/>
          <w:color w:val="000000"/>
          <w:kern w:val="0"/>
          <w:sz w:val="24"/>
        </w:rPr>
      </w:pPr>
      <w:r>
        <w:rPr>
          <w:rFonts w:hint="eastAsia" w:ascii="Times New Roman" w:hAnsi="Times New Roman" w:eastAsia="Times New Roman" w:cs="Times New Roman"/>
          <w:b/>
          <w:bCs/>
          <w:i/>
          <w:iCs/>
          <w:color w:val="000000"/>
          <w:kern w:val="0"/>
          <w:sz w:val="24"/>
        </w:rPr>
        <w:t>Li Jinyue</w:t>
      </w:r>
    </w:p>
    <w:p w14:paraId="3349C4CE">
      <w:pPr>
        <w:widowControl/>
        <w:jc w:val="center"/>
        <w:rPr>
          <w:rFonts w:ascii="Times New Roman" w:hAnsi="Times New Roman" w:eastAsia="Times New Roman" w:cs="Times New Roman"/>
          <w:i/>
          <w:iCs/>
          <w:color w:val="000000"/>
          <w:kern w:val="0"/>
          <w:sz w:val="24"/>
          <w:lang w:eastAsia="en-US"/>
        </w:rPr>
      </w:pPr>
      <w:r>
        <w:rPr>
          <w:rFonts w:hint="eastAsia" w:ascii="Times New Roman" w:hAnsi="Times New Roman" w:eastAsia="Times New Roman" w:cs="Times New Roman"/>
          <w:i/>
          <w:iCs/>
          <w:color w:val="000000"/>
          <w:kern w:val="0"/>
          <w:sz w:val="24"/>
          <w:lang w:eastAsia="en-US"/>
        </w:rPr>
        <w:t>MSc students</w:t>
      </w:r>
    </w:p>
    <w:p w14:paraId="6D4E9DA7">
      <w:pPr>
        <w:widowControl/>
        <w:jc w:val="center"/>
        <w:rPr>
          <w:rFonts w:ascii="Times New Roman" w:hAnsi="Times New Roman" w:eastAsia="Times New Roman" w:cs="Times New Roman"/>
          <w:i/>
          <w:iCs/>
          <w:color w:val="000000"/>
          <w:kern w:val="0"/>
          <w:sz w:val="24"/>
          <w:lang w:eastAsia="en-US"/>
        </w:rPr>
      </w:pPr>
      <w:r>
        <w:rPr>
          <w:rFonts w:ascii="Times New Roman" w:hAnsi="Times New Roman" w:eastAsia="Times New Roman" w:cs="Times New Roman"/>
          <w:i/>
          <w:iCs/>
          <w:color w:val="000000"/>
          <w:kern w:val="0"/>
          <w:sz w:val="24"/>
          <w:lang w:eastAsia="en-US"/>
        </w:rPr>
        <w:t>S</w:t>
      </w:r>
      <w:r>
        <w:rPr>
          <w:rFonts w:hint="eastAsia" w:ascii="Times New Roman" w:hAnsi="Times New Roman" w:eastAsia="Times New Roman" w:cs="Times New Roman"/>
          <w:i/>
          <w:iCs/>
          <w:color w:val="000000"/>
          <w:kern w:val="0"/>
          <w:sz w:val="24"/>
        </w:rPr>
        <w:t>henzhen</w:t>
      </w:r>
      <w:r>
        <w:rPr>
          <w:rFonts w:ascii="Times New Roman" w:hAnsi="Times New Roman" w:eastAsia="Times New Roman" w:cs="Times New Roman"/>
          <w:i/>
          <w:iCs/>
          <w:color w:val="000000"/>
          <w:kern w:val="0"/>
          <w:sz w:val="24"/>
          <w:lang w:eastAsia="en-US"/>
        </w:rPr>
        <w:t xml:space="preserve"> MSU-BIT University</w:t>
      </w:r>
    </w:p>
    <w:p w14:paraId="300FEE40">
      <w:pPr>
        <w:widowControl/>
        <w:jc w:val="center"/>
        <w:rPr>
          <w:rFonts w:ascii="Times New Roman" w:hAnsi="Times New Roman" w:eastAsia="Times New Roman" w:cs="Times New Roman"/>
          <w:i/>
          <w:iCs/>
          <w:color w:val="000000"/>
          <w:kern w:val="0"/>
          <w:sz w:val="24"/>
          <w:lang w:eastAsia="en-US"/>
        </w:rPr>
      </w:pPr>
      <w:r>
        <w:rPr>
          <w:rFonts w:ascii="Times New Roman" w:hAnsi="Times New Roman" w:eastAsia="Times New Roman" w:cs="Times New Roman"/>
          <w:i/>
          <w:iCs/>
          <w:color w:val="000000"/>
          <w:kern w:val="0"/>
          <w:sz w:val="24"/>
          <w:lang w:eastAsia="en-US"/>
        </w:rPr>
        <w:t xml:space="preserve">Faculty of </w:t>
      </w:r>
      <w:r>
        <w:rPr>
          <w:rFonts w:hint="eastAsia" w:ascii="Times New Roman" w:hAnsi="Times New Roman" w:eastAsia="Times New Roman" w:cs="Times New Roman"/>
          <w:i/>
          <w:iCs/>
          <w:color w:val="000000"/>
          <w:kern w:val="0"/>
          <w:sz w:val="24"/>
        </w:rPr>
        <w:t>Biology</w:t>
      </w:r>
      <w:r>
        <w:rPr>
          <w:rFonts w:ascii="Times New Roman" w:hAnsi="Times New Roman" w:eastAsia="Times New Roman" w:cs="Times New Roman"/>
          <w:i/>
          <w:iCs/>
          <w:color w:val="000000"/>
          <w:kern w:val="0"/>
          <w:sz w:val="24"/>
          <w:lang w:eastAsia="en-US"/>
        </w:rPr>
        <w:t xml:space="preserve">, </w:t>
      </w:r>
      <w:r>
        <w:rPr>
          <w:rFonts w:hint="eastAsia" w:ascii="Times New Roman" w:hAnsi="Times New Roman" w:eastAsia="Times New Roman" w:cs="Times New Roman"/>
          <w:i/>
          <w:iCs/>
          <w:color w:val="000000"/>
          <w:kern w:val="0"/>
          <w:sz w:val="24"/>
          <w:lang w:eastAsia="en-US"/>
        </w:rPr>
        <w:t>Shenzhen, China</w:t>
      </w:r>
      <w:bookmarkStart w:id="0" w:name="_GoBack"/>
      <w:bookmarkEnd w:id="0"/>
    </w:p>
    <w:p w14:paraId="3C2082BA">
      <w:pPr>
        <w:widowControl/>
        <w:jc w:val="center"/>
        <w:rPr>
          <w:rFonts w:ascii="Times New Roman" w:hAnsi="Times New Roman" w:eastAsia="Times New Roman" w:cs="Times New Roman"/>
          <w:i/>
          <w:iCs/>
          <w:color w:val="000000"/>
          <w:kern w:val="0"/>
          <w:sz w:val="24"/>
          <w:lang w:eastAsia="en-US"/>
        </w:rPr>
      </w:pPr>
      <w:r>
        <w:rPr>
          <w:rFonts w:ascii="Times New Roman" w:hAnsi="Times New Roman" w:eastAsia="Times New Roman" w:cs="Times New Roman"/>
          <w:i/>
          <w:iCs/>
          <w:color w:val="000000"/>
          <w:kern w:val="0"/>
          <w:sz w:val="24"/>
          <w:lang w:eastAsia="en-US"/>
        </w:rPr>
        <w:t>E–mail: </w:t>
      </w:r>
      <w:r>
        <w:rPr>
          <w:rFonts w:hint="eastAsia" w:ascii="Times New Roman" w:hAnsi="Times New Roman" w:eastAsia="Times New Roman" w:cs="Times New Roman"/>
          <w:i/>
          <w:iCs/>
          <w:color w:val="000000"/>
          <w:kern w:val="0"/>
          <w:sz w:val="24"/>
        </w:rPr>
        <w:t>1103817720@qq.com</w:t>
      </w:r>
    </w:p>
    <w:p w14:paraId="140F4485">
      <w:pPr>
        <w:ind w:firstLine="397"/>
        <w:rPr>
          <w:rFonts w:ascii="Times New Roman" w:hAnsi="Times New Roman" w:cs="Times New Roman"/>
          <w:sz w:val="24"/>
        </w:rPr>
      </w:pPr>
      <w:r>
        <w:rPr>
          <w:rFonts w:ascii="Times New Roman" w:hAnsi="Times New Roman" w:eastAsia="Times New Roman" w:cs="Times New Roman"/>
          <w:color w:val="000000"/>
          <w:kern w:val="0"/>
          <w:sz w:val="24"/>
          <w:lang w:eastAsia="en-US"/>
        </w:rPr>
        <w:t xml:space="preserve">Functional traits are measurable morphological, physiological, or phenological characteristics of organisms that influence fitness through </w:t>
      </w:r>
      <w:r>
        <w:rPr>
          <w:rFonts w:ascii="Times New Roman" w:hAnsi="Times New Roman" w:cs="Times New Roman"/>
          <w:sz w:val="24"/>
        </w:rPr>
        <w:t>effects on growth, reproduction, and survival</w:t>
      </w: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{"citationID":"P0iXjyCc","properties":{"formattedCitation":"(Violle et al., 2007)","plainCitation":"(Violle et al., 2007)","dontUpdate":true,"noteIndex":0},"citationItems":[{"id":43,"uris":["http://zotero.org/users/local/ebKeklix/items/2SUUS5YP"],"itemData":{"id":43,"type":"article-journal","abstract":"In its simplest definition, a trait is a surrogate of organismal performance, and this meaning of the term has been used by evolutionists for a long time. Over the last three decades, developments in community and ecosystem ecology have forced the concept of trait beyond these original boundaries, and trait-based approaches are now widely used in studies ranging from the level of organisms to that of ecosystems. Despite some attempts to fix the terminology, especially in plant ecology, there is currently a high degree of confusion in the use, not only of the term “trait” itself, but also in the underlying concepts it refers to. We therefore give an unambiguous definition of plant trait, with a particular emphasis on functional trait. A hierarchical perspective is proposed, extending the “performance paradigm” to plant ecology. “Functional traits” are defined as morpho-physio-phenological traits which impact fitness indirectly via their effects on growth, reproduction and survival, the three components of individual performance. We finally present an integrative framework explaining how changes in trait values due to environmental variations are translated into organismal performance, and how these changes may influence processes at higher organizational levels. We argue that this can be achieved by developing “integration functions” which can be grouped into functional response (community level) and effect (ecosystem level) algorithms.","container-title":"Oikos","DOI":"https://doi.org/10.1111/j.0030-1299.2007.15559.x","issue":"5","note":"_eprint: https://nsojournals.onlinelibrary.wiley.com/doi/pdf/10.1111/j.0030-1299.2007.15559.x","page":"882-892","title":"Let the concept of trait be functional!","URL":"https://nsojournals.onlinelibrary.wiley.com/doi/abs/10.1111/j.0030-1299.2007.15559.x","volume":"116","author":[{"family":"Violle","given":"Cyrille"},{"family":"Navas","given":"Marie-Laure"},{"family":"Vile","given":"Denis"},{"family":"Kazakou","given":"Elena"},{"family":"Fortunel","given":"Claire"},{"family":"Hummel","given":"Irène"},{"family":"Garnier","given":"Eric"}],"issued":{"date-parts":[["2007"]]}}}],"schema":"https://github.com/citation-style-language/schema/raw/master/csl-citation.json"} </w:instrText>
      </w:r>
      <w:r>
        <w:rPr>
          <w:rFonts w:ascii="Times New Roman" w:hAnsi="Times New Roman" w:cs="Times New Roman"/>
          <w:sz w:val="24"/>
        </w:rPr>
        <w:fldChar w:fldCharType="separate"/>
      </w:r>
      <w:r>
        <w:rPr>
          <w:rFonts w:hint="eastAsia" w:ascii="Times New Roman" w:hAnsi="Times New Roman" w:cs="Times New Roman"/>
          <w:sz w:val="24"/>
        </w:rPr>
        <w:t>[</w:t>
      </w:r>
      <w:r>
        <w:rPr>
          <w:rFonts w:hint="eastAsia" w:ascii="Times New Roman" w:hAnsi="Times New Roman" w:cs="Times New Roman"/>
          <w:sz w:val="24"/>
          <w:lang w:val="en-US" w:eastAsia="zh-CN"/>
        </w:rPr>
        <w:t>2</w:t>
      </w:r>
      <w:r>
        <w:rPr>
          <w:rFonts w:hint="eastAsia" w:ascii="Times New Roman" w:hAnsi="Times New Roman" w:cs="Times New Roman"/>
          <w:sz w:val="24"/>
        </w:rPr>
        <w:t>]</w:t>
      </w:r>
      <w:r>
        <w:rPr>
          <w:rFonts w:ascii="Times New Roman" w:hAnsi="Times New Roman" w:cs="Times New Roman"/>
          <w:sz w:val="24"/>
        </w:rPr>
        <w:fldChar w:fldCharType="end"/>
      </w:r>
      <w:r>
        <w:rPr>
          <w:rFonts w:ascii="Times New Roman" w:hAnsi="Times New Roman" w:cs="Times New Roman"/>
          <w:sz w:val="24"/>
        </w:rPr>
        <w:t xml:space="preserve">. These traits are categorized into response traits, which determine how species react to environmental changes, and effect traits, which affect ecosystem functioning. This distinction is essential for predicting ecosystem responses to environmental changes. </w:t>
      </w:r>
    </w:p>
    <w:p w14:paraId="35ECD360">
      <w:pPr>
        <w:ind w:firstLine="397"/>
        <w:rPr>
          <w:rFonts w:ascii="Times New Roman" w:hAnsi="Times New Roman" w:cs="Times New Roman"/>
          <w:sz w:val="24"/>
        </w:rPr>
      </w:pPr>
      <w:r>
        <w:rPr>
          <w:rFonts w:ascii="Times New Roman" w:hAnsi="Times New Roman" w:cs="Times New Roman"/>
          <w:sz w:val="24"/>
        </w:rPr>
        <w:t xml:space="preserve">The previous study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{"citationID":"ZQziKIVn","properties":{"formattedCitation":"(Zhu et al., 2025)","plainCitation":"(Zhu et al., 2025)","dontUpdate":true,"noteIndex":0},"citationItems":[{"id":41,"uris":["http://zotero.org/users/local/ebKeklix/items/MFNRCSK7"],"itemData":{"id":41,"type":"article-journal","abstract":"Co-occurrence analyses were originally employed to explore community assembly mechanisms driven by species interaction, especially competition. Here, we applied co-occurrence analysis based on community null models to explore metacommunity assembly mechanisms of soil testate amoeba communities in two contrasted environmental settings in the Ural Mountains: 1) within a single type of microbiotope (Picea obovata sub-crown soil litter microbiotope) and 2) in the most typical microbiotopes from each vegetation type across the landscape. The former revealed random co-occurrence pattern that we interpret as evidence for the mass effect mechanism. The latter revealed segregated non-random co-occurrence pattern that we interpret as evidence for the species sorting mechanism. We tested several null models which differ in their underlying assumptions regarding ecological features of sites and species, and our findings underscore the crucial role of a reasonable choice of a null model for subsequent ecological inferences. In terms of site treatment, we recommend assessing species richness variability among sites to substantiate the choice of a specific null model. At the species features side, we base our choice of a specific null model on the species occurrence evidence.","container-title":"APPLIED SOIL ECOLOGY","DOI":"10.1016/j.apsoil.2025.105999","ISSN":"0929-1393","language":"English","note":"publisher-place: RADARWEG 29, 1043 NX AMSTERDAM, NETHERLANDS\npublisher: ELSEVIER\ntype: Article","title":"Assembly mechanisms of soil testate amoeba metacommunities: Insights from co-occurrence patterns and the critical role of null model selection","volume":"208","author":[{"family":"Zhu","given":"Qihan"},{"family":"Ivanovskii","given":"Aleksandr A."},{"family":"Mitchell","given":"Edward A. D."},{"family":"Aleinikov","given":"Alexei A."},{"family":"Komarov","given":"Alexander A."},{"family":"Tsyganov","given":"Andrey N."},{"family":"Shimano","given":"Satoshi"},{"family":"Smirnova","given":"Olga V."},{"family":"Wu","given":"Donghui"},{"family":"Mazei","given":"Yuri A."}],"issued":{"date-parts":[["2025",4]]}}}],"schema":"https://github.com/citation-style-language/schema/raw/master/csl-citation.json"} </w:instrText>
      </w:r>
      <w:r>
        <w:rPr>
          <w:rFonts w:ascii="Times New Roman" w:hAnsi="Times New Roman" w:cs="Times New Roman"/>
          <w:sz w:val="24"/>
        </w:rPr>
        <w:fldChar w:fldCharType="separate"/>
      </w:r>
      <w:r>
        <w:rPr>
          <w:rFonts w:hint="eastAsia" w:ascii="Times New Roman" w:hAnsi="Times New Roman" w:cs="Times New Roman"/>
          <w:sz w:val="24"/>
        </w:rPr>
        <w:t>[</w:t>
      </w:r>
      <w:r>
        <w:rPr>
          <w:rFonts w:hint="eastAsia" w:ascii="Times New Roman" w:hAnsi="Times New Roman" w:cs="Times New Roman"/>
          <w:sz w:val="24"/>
          <w:lang w:val="en-US" w:eastAsia="zh-CN"/>
        </w:rPr>
        <w:t>4</w:t>
      </w:r>
      <w:r>
        <w:rPr>
          <w:rFonts w:hint="eastAsia" w:ascii="Times New Roman" w:hAnsi="Times New Roman" w:cs="Times New Roman"/>
          <w:sz w:val="24"/>
        </w:rPr>
        <w:t>]</w:t>
      </w:r>
      <w:r>
        <w:rPr>
          <w:rFonts w:ascii="Times New Roman" w:hAnsi="Times New Roman" w:cs="Times New Roman"/>
          <w:sz w:val="24"/>
        </w:rPr>
        <w:fldChar w:fldCharType="end"/>
      </w:r>
      <w:r>
        <w:rPr>
          <w:rFonts w:ascii="Times New Roman" w:hAnsi="Times New Roman" w:cs="Times New Roman"/>
          <w:sz w:val="24"/>
        </w:rPr>
        <w:t xml:space="preserve"> showed that species composition of testate amoeba assemblages in boreal forests differed significantly among local vegetation type. We hypothesize, that a difference in functional composition of communities will be found as well.</w:t>
      </w:r>
    </w:p>
    <w:p w14:paraId="077F41DA">
      <w:pPr>
        <w:ind w:firstLine="397"/>
        <w:rPr>
          <w:rFonts w:ascii="Times New Roman" w:hAnsi="Times New Roman" w:cs="Times New Roman"/>
          <w:sz w:val="24"/>
        </w:rPr>
      </w:pPr>
      <w:r>
        <w:rPr>
          <w:rFonts w:ascii="Times New Roman" w:hAnsi="Times New Roman" w:cs="Times New Roman"/>
          <w:sz w:val="24"/>
        </w:rPr>
        <w:t xml:space="preserve">The data, used for the present study, embrace a pit-and-mound heterogeneity of forest vegetation. The environmental variables in this study included three forest types, five types of habitats (related with a pit-and-mound heterogeneity), and four stages of vegetation succession across pit-and-mound heterogeneity biotopes. The functional traits of testate amoebae comprised both quantitative traits and categorical traits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{"citationID":"niZWgMtO","properties":{"formattedCitation":"(Yakimov et al., 2026)","plainCitation":"(Yakimov et al., 2026)","noteIndex":0},"citationItems":[{"id":45,"uris":["http://zotero.org/users/local/ebKeklix/items/UXN438I9"],"itemData":{"id":45,"type":"article-journal","abstract":"Trait-based approaches are increasingly used in ecology to better understand species' functional roles and adaptations. Testate amoebae, a diverse group of microbial eukaryotes driving important ecological functions, are particularly suited for trait-based analysis due to their considerable morphological variability. However, traditional classifications of testate amoebae rely primarily on morphology, potentially overlooking ecologically relevant information. This study developed a novel system of functional groups for testate amoebae based on 18 functional traits and assessed its ecological significance. We used hierarchical clustering on a trait database encompassing 372 species from the Northern Holarctic realm. Our analysis identified seven distinct functional groups, which reflect adaptive strategies linked to shell size, aperture traits, and feeding modes: large-bodied predators (Groups 1 and 2), medium-sized bacterivores (Groups 3-5), patelliform generalists (Group 6), and small, highly adaptable taxa (Group 7). A case study in the Eastern European Plain revealed that organic soils harbored greater functional diversity, with species spanning all groups, while mineral soils were dominated by Group 5 (hemispheric, drought-tolerant bacterivores). Functional space ordination highlighted habitat-driven divergence, with organic soil communities characterized by traits optimizing resource exploitation (e.g., straight terminal apertures, idiosome shells) and mineral soils favoring desiccation-resistant morphologies (central ventral apertures, compact shells). The new functional classification provides a more comprehensive understanding of the testate amoebae's ecological functions and improves our ability to predict their responses to environmental change.","container-title":"ECOLOGICAL RESEARCH","DOI":"10.1111/1440-1703.70055","ISSN":"0912-3814","issue":"2","title":"Trait-Based Functional Groups of Testate Amoebae: Classification and Ecological Implications","volume":"41","author":[{"family":"Yakimov","given":"Basil N."},{"family":"Su","given":"Jiahui"},{"family":"Mazei","given":"Yuri A."},{"family":"Tsyganov","given":"Andrey N."},{"family":"Chernyshov","given":"Viktor A."},{"family":"Komarov","given":"Alexander A."},{"family":"Babeshko","given":"Kirill V."},{"family":"Mazei","given":"Natalia G."},{"family":"Saldaev","given":"Damir A."}],"issued":{"date-parts":[["2026",2,23]]}}}],"schema":"https://github.com/citation-style-language/schema/raw/master/csl-citation.json"} </w:instrText>
      </w:r>
      <w:r>
        <w:rPr>
          <w:rFonts w:ascii="Times New Roman" w:hAnsi="Times New Roman" w:cs="Times New Roman"/>
          <w:sz w:val="24"/>
        </w:rPr>
        <w:fldChar w:fldCharType="separate"/>
      </w:r>
      <w:r>
        <w:rPr>
          <w:rFonts w:hint="eastAsia" w:ascii="Times New Roman" w:hAnsi="Times New Roman" w:cs="Times New Roman"/>
          <w:sz w:val="24"/>
        </w:rPr>
        <w:t>[</w:t>
      </w:r>
      <w:r>
        <w:rPr>
          <w:rFonts w:hint="eastAsia" w:ascii="Times New Roman" w:hAnsi="Times New Roman" w:cs="Times New Roman"/>
          <w:sz w:val="24"/>
          <w:lang w:val="en-US" w:eastAsia="zh-CN"/>
        </w:rPr>
        <w:t>3</w:t>
      </w:r>
      <w:r>
        <w:rPr>
          <w:rFonts w:hint="eastAsia" w:ascii="Times New Roman" w:hAnsi="Times New Roman" w:cs="Times New Roman"/>
          <w:sz w:val="24"/>
        </w:rPr>
        <w:t>]</w:t>
      </w:r>
      <w:r>
        <w:rPr>
          <w:rFonts w:ascii="Times New Roman" w:hAnsi="Times New Roman" w:cs="Times New Roman"/>
          <w:sz w:val="24"/>
        </w:rPr>
        <w:fldChar w:fldCharType="end"/>
      </w:r>
      <w:r>
        <w:rPr>
          <w:rFonts w:ascii="Times New Roman" w:hAnsi="Times New Roman" w:cs="Times New Roman"/>
          <w:sz w:val="24"/>
        </w:rPr>
        <w:t xml:space="preserve"> .</w:t>
      </w:r>
    </w:p>
    <w:p w14:paraId="709DCECC">
      <w:pPr>
        <w:ind w:firstLine="397"/>
        <w:rPr>
          <w:rFonts w:ascii="Times New Roman" w:hAnsi="Times New Roman" w:cs="Times New Roman"/>
          <w:sz w:val="24"/>
        </w:rPr>
      </w:pPr>
      <w:r>
        <w:rPr>
          <w:rFonts w:ascii="Times New Roman" w:hAnsi="Times New Roman" w:cs="Times New Roman"/>
          <w:sz w:val="24"/>
        </w:rPr>
        <w:t xml:space="preserve">Data preparation involved organizing three core datasets: a species abundance matrix, an environmental variable matrix, and a species functional trait matrix. For all species in the data set, functional traits were assigned in according with recent publication </w:t>
      </w:r>
      <w:r>
        <w:rPr>
          <w:rFonts w:ascii="Times New Roman" w:hAnsi="Times New Roman" w:cs="Times New Roman"/>
          <w:sz w:val="24"/>
        </w:rPr>
        <w:fldChar w:fldCharType="begin"/>
      </w:r>
      <w:r>
        <w:rPr>
          <w:rFonts w:ascii="Times New Roman" w:hAnsi="Times New Roman" w:cs="Times New Roman"/>
          <w:sz w:val="24"/>
        </w:rPr>
        <w:instrText xml:space="preserve"> ADDIN ZOTERO_ITEM CSL_CITATION {"citationID":"KUh4tQ3F","properties":{"formattedCitation":"(Su et al., 2024)","plainCitation":"(Su et al., 2024)","dontUpdate":true,"noteIndex":0},"citationItems":[{"id":39,"uris":["http://zotero.org/users/local/ebKeklix/items/RN759F2A"],"itemData":{"id":39,"type":"article-journal","abstract":"The functional traits of soil protists have been employed in ecological research to enhance comprehension of the underlying mechanisms of ecological processes. Among the numerous soil protists, testate amoebae emerge as a prominent and abundant group, playing a pivotal role in soil micro-food webs. Furthermore, they are regarded as valuable bioindicators for environmental monitoring and palaeoecological studies due to their sensitivity to environmental changes. We screened 372 testate amoebae species widely distributed across Northern Holarctic realm and collected trait data, representing the morphological and feeding characteristics of testate amoebae. The dataset would provide valuable basis for investigation of the functional diversity and ecological roles of testate amoebae, thus facilitating further research on soil protist communities and ecosystem dynamics.","container-title":"SCIENTIFIC DATA","DOI":"10.1038/s41597-024-03874-0","issue":"1","language":"English","note":"publisher-place: HEIDELBERGER PLATZ 3, BERLIN, 14197, GERMANY\npublisher: NATURE PORTFOLIO\ntype: Article","title":"Functional traits data for testate amoebae of Northern Holarctic realm","volume":"11","author":[{"family":"Su","given":"Jiahui"},{"family":"Mazei","given":"Yuri A."},{"family":"Tsyganov","given":"Andrey N."},{"family":"Chernyshov","given":"Viktor A."},{"family":"Komarov","given":"Alexander A."},{"family":"Malysheva","given":"Elena A."},{"family":"Babeshko","given":"Kirill V."},{"family":"Mazei","given":"Natalia G."},{"family":"Saldaev","given":"Damir A."},{"family":"Levin","given":"Boris"},{"family":"Yakimov","given":"Basil N."}],"issued":{"date-parts":[["2024",9,19]]}}}],"schema":"https://github.com/citation-style-language/schema/raw/master/csl-citation.json"} </w:instrText>
      </w:r>
      <w:r>
        <w:rPr>
          <w:rFonts w:ascii="Times New Roman" w:hAnsi="Times New Roman" w:cs="Times New Roman"/>
          <w:sz w:val="24"/>
        </w:rPr>
        <w:fldChar w:fldCharType="separate"/>
      </w:r>
      <w:r>
        <w:rPr>
          <w:rFonts w:hint="eastAsia" w:ascii="Times New Roman" w:hAnsi="Times New Roman" w:cs="Times New Roman"/>
          <w:sz w:val="24"/>
        </w:rPr>
        <w:t>[</w:t>
      </w:r>
      <w:r>
        <w:rPr>
          <w:rFonts w:hint="eastAsia" w:ascii="Times New Roman" w:hAnsi="Times New Roman" w:cs="Times New Roman"/>
          <w:sz w:val="24"/>
          <w:lang w:val="en-US" w:eastAsia="zh-CN"/>
        </w:rPr>
        <w:t>3</w:t>
      </w:r>
      <w:r>
        <w:rPr>
          <w:rFonts w:hint="eastAsia" w:ascii="Times New Roman" w:hAnsi="Times New Roman" w:cs="Times New Roman"/>
          <w:sz w:val="24"/>
        </w:rPr>
        <w:t>]</w:t>
      </w:r>
      <w:r>
        <w:rPr>
          <w:rFonts w:ascii="Times New Roman" w:hAnsi="Times New Roman" w:cs="Times New Roman"/>
          <w:sz w:val="24"/>
        </w:rPr>
        <w:fldChar w:fldCharType="end"/>
      </w:r>
      <w:r>
        <w:rPr>
          <w:rFonts w:ascii="Times New Roman" w:hAnsi="Times New Roman" w:cs="Times New Roman"/>
          <w:sz w:val="24"/>
        </w:rPr>
        <w:t xml:space="preserve"> after taxonomical harmonization.</w:t>
      </w:r>
    </w:p>
    <w:p w14:paraId="67AD80BF">
      <w:pPr>
        <w:ind w:firstLine="397"/>
        <w:rPr>
          <w:rFonts w:ascii="Times New Roman" w:hAnsi="Times New Roman" w:cs="Times New Roman"/>
          <w:sz w:val="24"/>
        </w:rPr>
      </w:pPr>
      <w:r>
        <w:rPr>
          <w:rFonts w:ascii="Times New Roman" w:hAnsi="Times New Roman" w:cs="Times New Roman"/>
          <w:sz w:val="24"/>
        </w:rPr>
        <w:t xml:space="preserve">R programming language as a computational environment and RStudio IDE to facilitate interaction with R environment were used. The RLQ analysis was implemented to evaluate an overall significance of a relationship between environment factors and species functional traits </w:t>
      </w:r>
      <w:r>
        <w:rPr>
          <w:rFonts w:hint="eastAsia" w:ascii="Times New Roman" w:hAnsi="Times New Roman" w:cs="Times New Roman"/>
          <w:sz w:val="24"/>
        </w:rPr>
        <w:t>[1]</w:t>
      </w:r>
      <w:r>
        <w:rPr>
          <w:rFonts w:ascii="Times New Roman" w:hAnsi="Times New Roman" w:cs="Times New Roman"/>
          <w:sz w:val="24"/>
        </w:rPr>
        <w:t xml:space="preserve">. The fourth corner analysis was employed to evaluate the significance of a relationship between a single trait and a single environment factor </w:t>
      </w:r>
      <w:r>
        <w:rPr>
          <w:rFonts w:hint="eastAsia" w:ascii="Times New Roman" w:hAnsi="Times New Roman" w:cs="Times New Roman"/>
          <w:sz w:val="24"/>
        </w:rPr>
        <w:t>[1]</w:t>
      </w:r>
      <w:r>
        <w:rPr>
          <w:rFonts w:ascii="Times New Roman" w:hAnsi="Times New Roman" w:cs="Times New Roman"/>
          <w:sz w:val="24"/>
        </w:rPr>
        <w:t xml:space="preserve">. </w:t>
      </w:r>
    </w:p>
    <w:p w14:paraId="67D1FEDD">
      <w:pPr>
        <w:ind w:firstLine="397"/>
        <w:rPr>
          <w:rFonts w:ascii="Times New Roman" w:hAnsi="Times New Roman" w:cs="Times New Roman"/>
          <w:sz w:val="24"/>
        </w:rPr>
      </w:pPr>
      <w:r>
        <w:rPr>
          <w:rFonts w:ascii="Times New Roman" w:hAnsi="Times New Roman" w:cs="Times New Roman"/>
          <w:sz w:val="24"/>
        </w:rPr>
        <w:t xml:space="preserve">In the report I discuss the relations between vegetation succession stages and composition of soil testate amoeba assemblages, including functional composition. </w:t>
      </w:r>
    </w:p>
    <w:p w14:paraId="38427876">
      <w:pPr>
        <w:widowControl/>
        <w:ind w:firstLine="397"/>
        <w:rPr>
          <w:rFonts w:ascii="Times New Roman" w:hAnsi="Times New Roman" w:eastAsia="Times New Roman" w:cs="Times New Roman"/>
          <w:b/>
          <w:bCs/>
          <w:color w:val="000000"/>
          <w:kern w:val="0"/>
          <w:sz w:val="24"/>
          <w:lang w:eastAsia="en-US"/>
        </w:rPr>
      </w:pPr>
      <w:r>
        <w:rPr>
          <w:rFonts w:ascii="Times New Roman" w:hAnsi="Times New Roman" w:eastAsia="Times New Roman" w:cs="Times New Roman"/>
          <w:b/>
          <w:bCs/>
          <w:color w:val="000000"/>
          <w:kern w:val="0"/>
          <w:sz w:val="24"/>
          <w:lang w:eastAsia="en-US"/>
        </w:rPr>
        <w:t>References</w:t>
      </w:r>
    </w:p>
    <w:p w14:paraId="4A53AC26">
      <w:pPr>
        <w:pStyle w:val="9"/>
        <w:numPr>
          <w:ilvl w:val="0"/>
          <w:numId w:val="1"/>
        </w:numPr>
        <w:ind w:left="726" w:hanging="363"/>
        <w:rPr>
          <w:rFonts w:ascii="Times New Roman" w:hAnsi="Times New Roman" w:cs="Times New Roman"/>
          <w:sz w:val="24"/>
          <w:lang w:eastAsia="en-US"/>
        </w:rPr>
      </w:pPr>
      <w:r>
        <w:rPr>
          <w:rFonts w:ascii="Times New Roman" w:hAnsi="Times New Roman" w:cs="Times New Roman"/>
          <w:sz w:val="24"/>
          <w:lang w:eastAsia="en-US"/>
        </w:rPr>
        <w:t>Borcard D., Gillet F., Legendre P. Numerical Ecology with R. 2nd ed. 2018. Cham: Springer International Publishing : Imprint: Springer, 2018. 435 p. DOI: 10.1007/978-3-319-71404-2.</w:t>
      </w:r>
    </w:p>
    <w:p w14:paraId="318577A7">
      <w:pPr>
        <w:pStyle w:val="9"/>
        <w:numPr>
          <w:ilvl w:val="0"/>
          <w:numId w:val="1"/>
        </w:numPr>
        <w:ind w:left="726" w:hanging="363"/>
        <w:rPr>
          <w:rFonts w:ascii="Times New Roman" w:hAnsi="Times New Roman" w:cs="Times New Roman"/>
          <w:sz w:val="24"/>
          <w:lang w:eastAsia="en-US"/>
        </w:rPr>
      </w:pPr>
      <w:r>
        <w:rPr>
          <w:rFonts w:ascii="Times New Roman" w:hAnsi="Times New Roman" w:cs="Times New Roman"/>
          <w:sz w:val="24"/>
          <w:lang w:eastAsia="en-US"/>
        </w:rPr>
        <w:fldChar w:fldCharType="begin"/>
      </w:r>
      <w:r>
        <w:rPr>
          <w:rFonts w:ascii="Times New Roman" w:hAnsi="Times New Roman" w:cs="Times New Roman"/>
          <w:sz w:val="24"/>
          <w:lang w:eastAsia="en-US"/>
        </w:rPr>
        <w:instrText xml:space="preserve"> ADDIN ZOTERO_BIBL {"uncited":[],"omitted":[],"custom":[]} CSL_BIBLIOGRAPHY </w:instrText>
      </w:r>
      <w:r>
        <w:rPr>
          <w:rFonts w:ascii="Times New Roman" w:hAnsi="Times New Roman" w:cs="Times New Roman"/>
          <w:sz w:val="24"/>
          <w:lang w:eastAsia="en-US"/>
        </w:rPr>
        <w:fldChar w:fldCharType="separate"/>
      </w:r>
      <w:r>
        <w:rPr>
          <w:rFonts w:ascii="Times New Roman" w:hAnsi="Times New Roman" w:cs="Times New Roman"/>
          <w:sz w:val="24"/>
          <w:lang w:eastAsia="en-US"/>
        </w:rPr>
        <w:t>Violle, C., Navas, M.-L., Vile, D., Kazakou, E., Fortunel, C., Hummel, I., Garnier, E., 2007. Let the concept of trait be functional! Oikos 116, 882–892. https://doi.org/10.1111/j.0030-1299.2007.15559.x</w:t>
      </w:r>
    </w:p>
    <w:p w14:paraId="684C0447">
      <w:pPr>
        <w:pStyle w:val="9"/>
        <w:numPr>
          <w:ilvl w:val="0"/>
          <w:numId w:val="1"/>
        </w:numPr>
        <w:ind w:left="726" w:hanging="363"/>
        <w:rPr>
          <w:rFonts w:ascii="Times New Roman" w:hAnsi="Times New Roman" w:cs="Times New Roman"/>
          <w:sz w:val="24"/>
          <w:lang w:eastAsia="en-US"/>
        </w:rPr>
      </w:pPr>
      <w:r>
        <w:rPr>
          <w:rFonts w:ascii="Times New Roman" w:hAnsi="Times New Roman" w:cs="Times New Roman"/>
          <w:sz w:val="24"/>
          <w:lang w:eastAsia="en-US"/>
        </w:rPr>
        <w:t>Yakimov, B.N., Su, J., Mazei, Y.A., Tsyganov, A.N., Chernyshov, V.A., Komarov, A.A., Babeshko, K.V., Mazei, N.G., Saldaev, D.A., 2026. Trait-Based Functional Groups of Testate Amoebae: Classification and Ecological Implications. Ecol. Res. 41. https://doi.org/10.1111/1440-1703.70055</w:t>
      </w:r>
    </w:p>
    <w:p w14:paraId="474D03FD">
      <w:pPr>
        <w:pStyle w:val="9"/>
        <w:numPr>
          <w:ilvl w:val="0"/>
          <w:numId w:val="1"/>
        </w:numPr>
        <w:ind w:left="726" w:hanging="363"/>
        <w:rPr>
          <w:rFonts w:ascii="Times New Roman" w:hAnsi="Times New Roman" w:cs="Times New Roman"/>
          <w:sz w:val="24"/>
          <w:lang w:eastAsia="en-US"/>
        </w:rPr>
      </w:pPr>
      <w:r>
        <w:rPr>
          <w:rFonts w:ascii="Times New Roman" w:hAnsi="Times New Roman" w:cs="Times New Roman"/>
          <w:sz w:val="24"/>
          <w:lang w:eastAsia="en-US"/>
        </w:rPr>
        <w:t>Zhu, Q., Ivanovskii, A.A., Mitchell, E.A.D., Aleinikov, A.A., Komarov, A.A., Tsyganov, A.N., Shimano, S., Smirnova, O.V., Wu, D., Mazei, Y.A., 2025. Assembly mechanisms of soil testate amoeba metacommunities: Insights from co-occurrence patterns and the critical role of null model selection. Appl. SOIL Ecol. https://doi.org/10.1016/j.apsoil.2025.105999</w:t>
      </w:r>
    </w:p>
    <w:p w14:paraId="2C4BA09F">
      <w:pPr>
        <w:rPr>
          <w:lang w:eastAsia="en-US"/>
        </w:rPr>
      </w:pPr>
      <w:r>
        <w:rPr>
          <w:lang w:eastAsia="en-US"/>
        </w:rPr>
        <w:fldChar w:fldCharType="end"/>
      </w: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A2B00"/>
    <w:multiLevelType w:val="singleLevel"/>
    <w:tmpl w:val="BDAA2B00"/>
    <w:lvl w:ilvl="0" w:tentative="0">
      <w:start w:val="1"/>
      <w:numFmt w:val="decimal"/>
      <w:lvlText w:val="%1."/>
      <w:lvlJc w:val="left"/>
      <w:pPr>
        <w:ind w:left="425" w:hanging="425"/>
      </w:pPr>
      <w:rPr>
        <w:rFonts w:hint="default" w:ascii="Times New Roman" w:hAnsi="Times New Roman"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763E07"/>
    <w:rsid w:val="000C36FC"/>
    <w:rsid w:val="002D27C2"/>
    <w:rsid w:val="00923BAB"/>
    <w:rsid w:val="009A6A47"/>
    <w:rsid w:val="00A5585D"/>
    <w:rsid w:val="00B8091B"/>
    <w:rsid w:val="00DC43C0"/>
    <w:rsid w:val="0D0C67FD"/>
    <w:rsid w:val="14F10A6A"/>
    <w:rsid w:val="16741250"/>
    <w:rsid w:val="389F7E73"/>
    <w:rsid w:val="3EF44FD4"/>
    <w:rsid w:val="4EAE5BAB"/>
    <w:rsid w:val="517A23D3"/>
    <w:rsid w:val="553158A2"/>
    <w:rsid w:val="59763E07"/>
    <w:rsid w:val="5D2915E1"/>
    <w:rsid w:val="5F78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rPr>
      <w:sz w:val="20"/>
      <w:szCs w:val="20"/>
    </w:rPr>
  </w:style>
  <w:style w:type="paragraph" w:styleId="3">
    <w:name w:val="Balloon Text"/>
    <w:basedOn w:val="1"/>
    <w:link w:val="14"/>
    <w:qFormat/>
    <w:uiPriority w:val="0"/>
    <w:rPr>
      <w:rFonts w:ascii="Segoe UI" w:hAnsi="Segoe UI" w:cs="Segoe UI"/>
      <w:sz w:val="18"/>
      <w:szCs w:val="18"/>
    </w:rPr>
  </w:style>
  <w:style w:type="paragraph" w:styleId="4">
    <w:name w:val="Normal (Web)"/>
    <w:basedOn w:val="1"/>
    <w:qFormat/>
    <w:uiPriority w:val="0"/>
    <w:rPr>
      <w:sz w:val="24"/>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16"/>
      <w:szCs w:val="16"/>
    </w:rPr>
  </w:style>
  <w:style w:type="paragraph" w:styleId="9">
    <w:name w:val="List Paragraph"/>
    <w:basedOn w:val="1"/>
    <w:qFormat/>
    <w:uiPriority w:val="34"/>
    <w:pPr>
      <w:ind w:left="720"/>
      <w:contextualSpacing/>
    </w:pPr>
  </w:style>
  <w:style w:type="paragraph" w:customStyle="1" w:styleId="10">
    <w:name w:val="书目1"/>
    <w:basedOn w:val="1"/>
    <w:next w:val="1"/>
    <w:unhideWhenUsed/>
    <w:qFormat/>
    <w:uiPriority w:val="37"/>
    <w:pPr>
      <w:ind w:left="720" w:hanging="720"/>
    </w:pPr>
  </w:style>
  <w:style w:type="paragraph" w:customStyle="1" w:styleId="11">
    <w:name w:val="Список литературы1"/>
    <w:basedOn w:val="1"/>
    <w:next w:val="1"/>
    <w:unhideWhenUsed/>
    <w:qFormat/>
    <w:uiPriority w:val="37"/>
    <w:pPr>
      <w:ind w:left="720" w:hanging="720"/>
    </w:pPr>
  </w:style>
  <w:style w:type="character" w:customStyle="1" w:styleId="12">
    <w:name w:val="Текст примечания Знак"/>
    <w:basedOn w:val="7"/>
    <w:link w:val="2"/>
    <w:qFormat/>
    <w:uiPriority w:val="0"/>
    <w:rPr>
      <w:kern w:val="2"/>
      <w:lang w:val="en-US"/>
    </w:rPr>
  </w:style>
  <w:style w:type="character" w:customStyle="1" w:styleId="13">
    <w:name w:val="Тема примечания Знак"/>
    <w:basedOn w:val="12"/>
    <w:link w:val="5"/>
    <w:qFormat/>
    <w:uiPriority w:val="0"/>
    <w:rPr>
      <w:b/>
      <w:bCs/>
      <w:kern w:val="2"/>
      <w:lang w:val="en-US"/>
    </w:rPr>
  </w:style>
  <w:style w:type="character" w:customStyle="1" w:styleId="14">
    <w:name w:val="Текст выноски Знак"/>
    <w:basedOn w:val="7"/>
    <w:link w:val="3"/>
    <w:qFormat/>
    <w:uiPriority w:val="0"/>
    <w:rPr>
      <w:rFonts w:ascii="Segoe UI" w:hAnsi="Segoe UI" w:cs="Segoe UI"/>
      <w:kern w:val="2"/>
      <w:sz w:val="18"/>
      <w:szCs w:val="18"/>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424</Words>
  <Characters>2810</Characters>
  <Lines>117</Lines>
  <Paragraphs>33</Paragraphs>
  <TotalTime>0</TotalTime>
  <ScaleCrop>false</ScaleCrop>
  <LinksUpToDate>false</LinksUpToDate>
  <CharactersWithSpaces>3220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2026-04-04T10:41:00Z</dcterms:created>
  <dc:creator>LK</dc:creator>
  <cp:lastModifiedBy>LK</cp:lastModifiedBy>
  <dcterms:modified xsi:type="dcterms:W3CDTF">2026-04-05T11:51:50Z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EFF2693FCB77404588EB660FD477876E_13</vt:lpwstr>
  </property>
  <property fmtid="{D5CDD505-2E9C-101B-9397-08002B2CF9AE}" pid="4" name="KSOTemplateDocerSaveRecord">
    <vt:lpwstr>eyJoZGlkIjoiNDBhM2FlMmU1ZGVkZDhiMjJlMGVhY2M2NTZlMWY3NzEiLCJ1c2VySWQiOiI2NjcwNTA1NTIifQ==</vt:lpwstr>
  </property>
  <property fmtid="{D5CDD505-2E9C-101B-9397-08002B2CF9AE}" pid="5" name="ZOTERO_PREF_1">
    <vt:lpwstr>&lt;data data-version="3" zotero-version="7.0.24"&gt;&lt;session id="WaByZC3h"/&gt;&lt;style id="http://www.zotero.org/styles/elsevier-harvard" hasBibliography="1" bibliographyStyleHasBeenSet="1"/&gt;&lt;prefs&gt;&lt;pref name="fieldType" value="Field"/&gt;&lt;pref name="automaticJournal</vt:lpwstr>
  </property>
  <property fmtid="{D5CDD505-2E9C-101B-9397-08002B2CF9AE}" pid="6" name="ZOTERO_PREF_2">
    <vt:lpwstr>Abbreviations" value="true"/&gt;&lt;/prefs&gt;&lt;/data&gt;</vt:lpwstr>
  </property>
</Properties>
</file>