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D3ED6">
      <w:pPr>
        <w:jc w:val="center"/>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Microspatial Patterns of Testate Amoeba Assemblages from Intrazonal Wetland Vegetation in the Forest-Steppe Zone: Relative Roles of Environmental Filtering and Stochastic Processes</w:t>
      </w:r>
    </w:p>
    <w:p w14:paraId="1F82EFCB">
      <w:pPr>
        <w:jc w:val="center"/>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 xml:space="preserve">Liu </w:t>
      </w:r>
      <w:r>
        <w:rPr>
          <w:rFonts w:hint="eastAsia" w:ascii="Times New Roman" w:hAnsi="Times New Roman" w:cs="Times New Roman"/>
          <w:i/>
          <w:iCs/>
          <w:sz w:val="24"/>
          <w:szCs w:val="24"/>
          <w:lang w:val="en-US" w:eastAsia="zh-CN"/>
        </w:rPr>
        <w:t>Yanwei</w:t>
      </w:r>
    </w:p>
    <w:p w14:paraId="65F962F2">
      <w:pPr>
        <w:jc w:val="center"/>
        <w:rPr>
          <w:rFonts w:hint="default" w:ascii="Times New Roman" w:hAnsi="Times New Roman" w:cs="Times New Roman"/>
          <w:i/>
          <w:iCs/>
          <w:sz w:val="24"/>
          <w:szCs w:val="24"/>
          <w:lang w:val="en-US" w:eastAsia="zh-CN"/>
        </w:rPr>
      </w:pPr>
      <w:r>
        <w:rPr>
          <w:rFonts w:hint="eastAsia" w:ascii="Times New Roman" w:hAnsi="Times New Roman" w:cs="Times New Roman"/>
          <w:i/>
          <w:iCs/>
          <w:sz w:val="24"/>
          <w:szCs w:val="24"/>
          <w:lang w:val="en-US" w:eastAsia="zh-CN"/>
        </w:rPr>
        <w:t>Master</w:t>
      </w:r>
      <w:r>
        <w:rPr>
          <w:rFonts w:hint="default" w:ascii="Times New Roman" w:hAnsi="Times New Roman" w:cs="Times New Roman"/>
          <w:i/>
          <w:iCs/>
          <w:sz w:val="24"/>
          <w:szCs w:val="24"/>
          <w:lang w:val="en-US" w:eastAsia="zh-CN"/>
        </w:rPr>
        <w:t xml:space="preserve"> Student</w:t>
      </w:r>
    </w:p>
    <w:p w14:paraId="71E2958F">
      <w:pPr>
        <w:jc w:val="center"/>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Shenzhen MSU-BIT University,</w:t>
      </w:r>
    </w:p>
    <w:p w14:paraId="6565AFBB">
      <w:pPr>
        <w:jc w:val="center"/>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Department of Biology, Shenzhen, China</w:t>
      </w:r>
    </w:p>
    <w:p w14:paraId="5258095A">
      <w:pPr>
        <w:jc w:val="center"/>
        <w:rPr>
          <w:rFonts w:hint="default" w:ascii="Times New Roman" w:hAnsi="Times New Roman" w:cs="Times New Roman"/>
          <w:sz w:val="24"/>
          <w:szCs w:val="24"/>
          <w:lang w:val="en-US" w:eastAsia="zh-CN"/>
        </w:rPr>
      </w:pPr>
      <w:r>
        <w:rPr>
          <w:rFonts w:hint="default" w:ascii="Times New Roman" w:hAnsi="Times New Roman" w:cs="Times New Roman"/>
          <w:i/>
          <w:iCs/>
          <w:sz w:val="24"/>
          <w:szCs w:val="24"/>
          <w:lang w:val="en-US" w:eastAsia="zh-CN"/>
        </w:rPr>
        <w:t>E–mail: [</w:t>
      </w:r>
      <w:r>
        <w:rPr>
          <w:rFonts w:hint="eastAsia" w:ascii="Times New Roman" w:hAnsi="Times New Roman" w:cs="Times New Roman"/>
          <w:i/>
          <w:iCs/>
          <w:sz w:val="24"/>
          <w:szCs w:val="24"/>
          <w:lang w:val="en-US" w:eastAsia="zh-CN"/>
        </w:rPr>
        <w:t>1056273201@qq.com</w:t>
      </w:r>
      <w:r>
        <w:rPr>
          <w:rFonts w:hint="default" w:ascii="Times New Roman" w:hAnsi="Times New Roman" w:cs="Times New Roman"/>
          <w:i/>
          <w:iCs/>
          <w:sz w:val="24"/>
          <w:szCs w:val="24"/>
          <w:lang w:val="en-US" w:eastAsia="zh-CN"/>
        </w:rPr>
        <w:t>]</w:t>
      </w:r>
    </w:p>
    <w:p w14:paraId="6D6CC379">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Microbial eukaryotes serve as pivotal components of soil ecosystems, playing central roles in energy flow, nutrient cycling, and micro-food-web stability [2]. Despite their functional importance, mechanisms governing community assembly—particularly in macroscopically homogeneous habitats—remain poorly understood [4]. In intrazonal wetland vegetation within the forest-steppe zone, where soil moisture is saturated and relatively homogeneous, we investigated whether microspatial patterns (2m scale) of soil testate amoeba assemblages are driven by environmental filtering or stochastic processes [3].</w:t>
      </w:r>
    </w:p>
    <w:p w14:paraId="5F74BFCB">
      <w:pPr>
        <w:rPr>
          <w:rFonts w:hint="default" w:ascii="Times New Roman" w:hAnsi="Times New Roman" w:cs="Times New Roman"/>
          <w:sz w:val="24"/>
          <w:szCs w:val="24"/>
          <w:lang w:val="en-US" w:eastAsia="zh-CN"/>
        </w:rPr>
      </w:pPr>
    </w:p>
    <w:p w14:paraId="2083912F">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Using distance-based Moran's eigenvector maps (dbMEM) and variation partitioning [3], we analyzed 51 testate amoeba species from 30 contiguous samples at the Kuncherovo forest plot. Linear trend detection revealed no significant large-scale gradients (mean adjusted R² = 1.27%, p = 0.41). Forward selection identified five significant spatial variables (MEM2, MEM3, MEM4, MEM5, MEM9), explaining 28.69% of species variation (adjusted R² = 13.84%).</w:t>
      </w:r>
    </w:p>
    <w:p w14:paraId="720B25D9">
      <w:pPr>
        <w:rPr>
          <w:rFonts w:hint="default" w:ascii="Times New Roman" w:hAnsi="Times New Roman" w:cs="Times New Roman"/>
          <w:sz w:val="24"/>
          <w:szCs w:val="24"/>
          <w:lang w:val="en-US" w:eastAsia="zh-CN"/>
        </w:rPr>
      </w:pPr>
    </w:p>
    <w:p w14:paraId="55D18573">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Variation partitioning revealed that measured soil moisture exhibited no independent explanatory power (-1.10%), whereas a latent environmental gradient (CA1) possessed genuine independent effects (+4.72%) and showed strong coupling with spatial structure (4.93% shared) [6]. Five species showed significant correlations with the latent gradient (|r| &gt; 0.4, p &lt; 0.05), with Phryganella acropodia penardi displaying the strongest association (r = –0.754, p &lt; 0.001).</w:t>
      </w:r>
    </w:p>
    <w:p w14:paraId="7BD07FFB">
      <w:pPr>
        <w:rPr>
          <w:rFonts w:hint="default" w:ascii="Times New Roman" w:hAnsi="Times New Roman" w:cs="Times New Roman"/>
          <w:sz w:val="24"/>
          <w:szCs w:val="24"/>
          <w:lang w:val="en-US" w:eastAsia="zh-CN"/>
        </w:rPr>
      </w:pPr>
    </w:p>
    <w:p w14:paraId="5DF78CF9">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These findings suggest that </w:t>
      </w:r>
      <w:r>
        <w:rPr>
          <w:rFonts w:hint="eastAsia" w:ascii="Times New Roman" w:hAnsi="Times New Roman" w:cs="Times New Roman"/>
          <w:sz w:val="24"/>
          <w:szCs w:val="24"/>
          <w:lang w:val="en-US" w:eastAsia="zh-CN"/>
        </w:rPr>
        <w:t>m</w:t>
      </w:r>
      <w:r>
        <w:rPr>
          <w:rFonts w:hint="default" w:ascii="Times New Roman" w:hAnsi="Times New Roman" w:cs="Times New Roman"/>
          <w:sz w:val="24"/>
          <w:szCs w:val="24"/>
          <w:lang w:val="en-US" w:eastAsia="zh-CN"/>
        </w:rPr>
        <w:t>icroscale spatial patterns exist but have limited explanatory power. Five MEMs are statistically significant yet collectively explain only 13.84% of community variation, suggesting either stochastic processes as the dominant drivers or complex environmental filtering acting at 2-meter extent.Soil moisture does not show an influence on testate amoeba assemblage composition in forest, whereas other unmeasured factors (aliased by the latent gradient) are significant predictors.The latent environmental gradient reveals hidden environmental filtering, independently explaining 4.72% of variation and exhibiting strong coupling with spatial structure (4.93% shared).</w:t>
      </w:r>
    </w:p>
    <w:p w14:paraId="096C1365">
      <w:pPr>
        <w:rPr>
          <w:rFonts w:hint="default" w:ascii="Times New Roman" w:hAnsi="Times New Roman" w:cs="Times New Roman"/>
          <w:sz w:val="24"/>
          <w:szCs w:val="24"/>
          <w:lang w:val="en-US" w:eastAsia="zh-CN"/>
        </w:rPr>
      </w:pPr>
    </w:p>
    <w:p w14:paraId="7D9D99D5">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 analytical workflow will be replicated across three additional sites and at a smaller spatial scale to test pattern generalizability across the forest-steppe landscape.</w:t>
      </w:r>
    </w:p>
    <w:p w14:paraId="19B075A1">
      <w:pPr>
        <w:rPr>
          <w:rFonts w:hint="default" w:ascii="Times New Roman" w:hAnsi="Times New Roman" w:cs="Times New Roman"/>
          <w:sz w:val="24"/>
          <w:szCs w:val="24"/>
          <w:lang w:val="en-US" w:eastAsia="zh-CN"/>
        </w:rPr>
      </w:pPr>
    </w:p>
    <w:p w14:paraId="300D3193">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References</w:t>
      </w:r>
    </w:p>
    <w:p w14:paraId="04384855">
      <w:pPr>
        <w:rPr>
          <w:rFonts w:hint="default" w:ascii="Times New Roman" w:hAnsi="Times New Roman" w:cs="Times New Roman"/>
          <w:sz w:val="24"/>
          <w:szCs w:val="24"/>
          <w:lang w:val="en-US" w:eastAsia="zh-CN"/>
        </w:rPr>
      </w:pPr>
    </w:p>
    <w:p w14:paraId="1247217C">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 Baselga A. The relationship between species replacement, dissimilarity derived from nestedness, and nestedness // Global Ecology and Biogeography. 2012. Vol. 21, № 12. P. 1223–1232. DOI: 10.1111/j.1466-8238.2011.00756.x.</w:t>
      </w:r>
    </w:p>
    <w:p w14:paraId="3C21DB5A">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 Bonkowski M. Protozoa and plant growth: The microbial loop in soil revisited // New Phytologist. 2004. Vol. 162(3). P. 617–631. DOI: 10.1111/j.1469-8137.2004.01066.x.</w:t>
      </w:r>
    </w:p>
    <w:p w14:paraId="1C2F4916">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 Borcard D., Gillet F., Legendre P. Numerical Ecology with R. 2nd ed. Cham: Springer International Publishing, 2018. 435 p. DOI: 10.1007/978-3-319-71404-2.</w:t>
      </w:r>
    </w:p>
    <w:p w14:paraId="78AFCE8C">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 Chase J.M., Myers J.A. Disentangling the importance of ecological niches from stochastic processes across scales // Philosophical Transactions of the Royal Society B. 2011. Vol. 366, № 1576. P. 2351–2363. DOI: 10.1098/rstb.2011.0063.</w:t>
      </w:r>
    </w:p>
    <w:p w14:paraId="155F057E">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 Patterson B.D., Atmar W. Nested subsets and the structure of insular mammalian faunas and archipelagos // Biol. J. Linn. Soc. 1986. Vol. 28, iss. 1–2. P. 65–82. DOI: 10.1111/j.1095-8312.1986.tb01749.x.</w:t>
      </w:r>
    </w:p>
    <w:p w14:paraId="33E1B5EE">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 Podani J., Schmera D. A new conceptual and methodological framework for exploring and explaining pattern in presence–absence data // Oikos. 2011. Vol. 120, № 11. P. 1625–1638. DOI: 10.1111/</w:t>
      </w:r>
      <w:bookmarkStart w:id="0" w:name="_GoBack"/>
      <w:bookmarkEnd w:id="0"/>
      <w:r>
        <w:rPr>
          <w:rFonts w:hint="default" w:ascii="Times New Roman" w:hAnsi="Times New Roman" w:cs="Times New Roman"/>
          <w:sz w:val="24"/>
          <w:szCs w:val="24"/>
          <w:lang w:val="en-US" w:eastAsia="zh-CN"/>
        </w:rPr>
        <w:t>j.1600-0706.2011.19451.x.</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62910"/>
    <w:rsid w:val="72723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Emphasis"/>
    <w:basedOn w:val="3"/>
    <w:qFormat/>
    <w:uiPriority w:val="0"/>
    <w:rPr>
      <w:i/>
    </w:rPr>
  </w:style>
  <w:style w:type="character" w:styleId="6">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2026-04-06T15:55:58Z</dcterms:created>
  <dc:creator>Huawei</dc:creator>
  <cp:lastModifiedBy>摆渡人</cp:lastModifiedBy>
  <dcterms:modified xsi:type="dcterms:W3CDTF">2026-04-06T16:10:23Z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eyJoZGlkIjoiMjY2MjNhMTc5MzI3ZjJmMmQ5NmExYzQ4MzAzNTYwOTIiLCJ1c2VySWQiOiI4NTUxODgzODgifQ==</vt:lpwstr>
  </property>
  <property fmtid="{D5CDD505-2E9C-101B-9397-08002B2CF9AE}" pid="4" name="ICV">
    <vt:lpwstr>9FB1C5FC0BA94E829D0FB1016E86577D_12</vt:lpwstr>
  </property>
</Properties>
</file>