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A9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53535"/>
          <w:kern w:val="0"/>
          <w:sz w:val="24"/>
          <w:szCs w:val="24"/>
          <w:lang w:val="ru-RU"/>
          <w14:ligatures w14:val="none"/>
        </w:rPr>
        <w:t>Особенности управления государственн</w:t>
      </w:r>
      <w:r>
        <w:rPr>
          <w:rFonts w:hint="default" w:ascii="Times New Roman" w:hAnsi="Times New Roman" w:eastAsia="Times New Roman" w:cs="Times New Roman"/>
          <w:b/>
          <w:bCs/>
          <w:color w:val="353535"/>
          <w:kern w:val="0"/>
          <w:sz w:val="24"/>
          <w:szCs w:val="24"/>
          <w:lang w:val="ru-RU"/>
          <w14:ligatures w14:val="none"/>
        </w:rPr>
        <w:t>ой</w:t>
      </w:r>
      <w:r>
        <w:rPr>
          <w:rFonts w:ascii="Times New Roman" w:hAnsi="Times New Roman" w:eastAsia="Times New Roman" w:cs="Times New Roman"/>
          <w:b/>
          <w:bCs/>
          <w:color w:val="353535"/>
          <w:kern w:val="0"/>
          <w:sz w:val="24"/>
          <w:szCs w:val="24"/>
          <w:lang w:val="ru-RU"/>
          <w14:ligatures w14:val="none"/>
        </w:rPr>
        <w:t xml:space="preserve"> собственностью в новых условиях</w:t>
      </w:r>
    </w:p>
    <w:p w14:paraId="0BF25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353535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53535"/>
          <w:kern w:val="0"/>
          <w:sz w:val="24"/>
          <w:szCs w:val="24"/>
          <w:lang w:val="ru-RU"/>
          <w14:ligatures w14:val="none"/>
        </w:rPr>
        <w:t>Лю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353535"/>
          <w:kern w:val="0"/>
          <w:sz w:val="24"/>
          <w:szCs w:val="24"/>
          <w:lang w:val="ru-RU"/>
          <w14:ligatures w14:val="none"/>
        </w:rPr>
        <w:t xml:space="preserve"> Сини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353535"/>
          <w:kern w:val="0"/>
          <w:sz w:val="24"/>
          <w:szCs w:val="24"/>
          <w:vertAlign w:val="superscript"/>
          <w:lang w:val="en-US" w:eastAsia="zh-CN"/>
          <w14:ligatures w14:val="none"/>
        </w:rPr>
        <w:t>1</w:t>
      </w:r>
    </w:p>
    <w:p w14:paraId="46ABC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  <w:t>Соискате</w:t>
      </w:r>
      <w:r>
        <w:rPr>
          <w:rFonts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  <w:t>ль</w:t>
      </w:r>
    </w:p>
    <w:p w14:paraId="31E24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vertAlign w:val="superscript"/>
          <w:lang w:val="ru-RU"/>
          <w14:ligatures w14:val="none"/>
        </w:rPr>
        <w:t>1</w:t>
      </w:r>
      <w:r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  <w:t>МГУ имени М.В. Ломоносова, факультет государственного управления, Москва, Россия</w:t>
      </w:r>
    </w:p>
    <w:p w14:paraId="308EB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eastAsia" w:ascii="Times New Roman" w:hAnsi="Times New Roman" w:eastAsia="宋体" w:cs="Times New Roman"/>
          <w:i/>
          <w:iCs/>
          <w:color w:val="353535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  <w:t xml:space="preserve">E–mail: </w:t>
      </w:r>
      <w:r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  <w:fldChar w:fldCharType="begin"/>
      </w:r>
      <w:r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  <w:instrText xml:space="preserve"> HYPERLINK "mailto:tony4704@yandex.ru" </w:instrText>
      </w:r>
      <w:r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  <w:fldChar w:fldCharType="separate"/>
      </w:r>
      <w:r>
        <w:rPr>
          <w:rStyle w:val="7"/>
          <w:rFonts w:hint="eastAsia" w:ascii="Times New Roman" w:hAnsi="Times New Roman" w:eastAsia="Times New Roman" w:cs="Times New Roman"/>
          <w:i/>
          <w:iCs/>
          <w:kern w:val="0"/>
          <w:sz w:val="24"/>
          <w:szCs w:val="24"/>
          <w:lang w:val="ru-RU"/>
          <w14:ligatures w14:val="none"/>
        </w:rPr>
        <w:t>tony4704@yandex.ru</w:t>
      </w:r>
      <w:r>
        <w:rPr>
          <w:rFonts w:hint="eastAsia" w:ascii="Times New Roman" w:hAnsi="Times New Roman" w:eastAsia="Times New Roman" w:cs="Times New Roman"/>
          <w:i/>
          <w:iCs/>
          <w:color w:val="353535"/>
          <w:kern w:val="0"/>
          <w:sz w:val="24"/>
          <w:szCs w:val="24"/>
          <w:lang w:val="ru-RU"/>
          <w14:ligatures w14:val="none"/>
        </w:rPr>
        <w:fldChar w:fldCharType="end"/>
      </w:r>
      <w:r>
        <w:rPr>
          <w:rFonts w:hint="eastAsia" w:ascii="Times New Roman" w:hAnsi="Times New Roman" w:eastAsia="宋体" w:cs="Times New Roman"/>
          <w:i/>
          <w:iCs/>
          <w:color w:val="353535"/>
          <w:kern w:val="0"/>
          <w:sz w:val="24"/>
          <w:szCs w:val="24"/>
          <w:lang w:val="en-US" w:eastAsia="zh-CN"/>
          <w14:ligatures w14:val="none"/>
        </w:rPr>
        <w:t xml:space="preserve"> </w:t>
      </w:r>
    </w:p>
    <w:p w14:paraId="5C6FDC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Управление государственной собственностью остаётся центральным элементом экономической политики крупнейших экономик мира. Современные исследования фиксируют формирование множественных разновидностей государственного капитализма, различающихся по механизмам контроля, отраслевой специализации и целевым функциям [1, 2]. В телекоммуникационной отрасли, играющей ключевую роль в цифровой трансформации экономики, государственное присутствие приобретает особое стратегическое значение: контроль над цифровой инфраструктурой непосредственно определяет технологический суверенитет страны. Вместе с тем Россия и Китай реализуют принципиально различные подходы к трансформации государственных телекоммуникационных предприятий, что обусловливает актуальность их сравнительного анализа. Целью настоящего исследования является выявление особенностей отраслевой структуры государственной собственности и оценка эффективности моделей трансформации государственных телекоммуникационных предприятий в России и Китае.</w:t>
      </w:r>
    </w:p>
    <w:p w14:paraId="2880E0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 статистических данных Росстата и Комитета по контролю и управлению государственным имуществом Госсовета КНР (SASAC) за 2010–2024 гг.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выявил принципиально противоположные макротренды. Россия демонстрирует последовательное сокращение числа государственных предприятий на 18,9% (с 62 655 до 50 807), отражающее продолжение приватизационной политики 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 Китай, напротив, наращивает государственный сектор: рост составил 89,3% (с 124 455 до 235 584 предприятий)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 Отраслевая структура государственной собственности также существенно различается: российская модель характеризуется концентрацией в социально-административной сфере (образование, государственное управление, здравоохранение — совокупно 85,4% государственных предприятий), тогда как китайская — ориентацией на производственно-коммерческий сектор (обрабатывающая промышленность, строительство, оптовая и розничная торговля — 75,4%). Наиболее значимая асимметрия наблюдается в технологическом секторе: в России количество государственных IT-предприятий сократилось на 20,2%, тогда как в Китае выросло в 5,8 раза, что свидетельствует о принципиально различных стратегиях обеспечения технологического суверенитета через государственную собственность.</w:t>
      </w:r>
    </w:p>
    <w:p w14:paraId="12228E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микроуровне исследованы два репрезентативных кейса трансформации государственных телекоммуникационных предприятий. Первый — консолидация «Теле2 Россия» государственно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й компанией «Ростелеком» (2020 г.) посредством полного поглощения стоимостью 132 млрд руб.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[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]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представляющая модель усиления прямого государственного контроля. Второй — реформа смешан</w:t>
      </w:r>
      <w:r>
        <w:rPr>
          <w:rFonts w:hint="default" w:ascii="Times New Roman" w:hAnsi="Times New Roman" w:cs="Times New Roman"/>
          <w:sz w:val="24"/>
          <w:szCs w:val="24"/>
        </w:rPr>
        <w:t>ной собственности China Unicom (2017 г.) с привлечением частных стратегических инвесторов (Tencent, Baidu, Alibaba, JD.com) и снижением государственной доли с 63% до 36,7%</w:t>
      </w:r>
      <w:r>
        <w:rPr>
          <w:rFonts w:hint="default" w:ascii="Times New Roman" w:hAnsi="Times New Roman" w:cs="Times New Roman"/>
          <w:sz w:val="24"/>
          <w:szCs w:val="24"/>
        </w:rPr>
        <w:t xml:space="preserve"> [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, представляющая модель управляемой диверсификации собственности.</w:t>
      </w:r>
    </w:p>
    <w:p w14:paraId="2781EC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оценки эффективности трансформации использованы два количественных метода. Событийный анализ (event study) [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] сделки Ростелеком–Теле2 на основе рыночной модели зафиксировал статистически значимую кумулятивную аномальную доходность (CAR) в размере 5,3% (p&lt;0,01) в окне события [−5; +5], что свидетельствует о положительной оценке консолидаци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 со стороны рынка. Факторный анализ финансовых показателей China Unicom за 2016–2023 гг.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[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]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(тест адекватности Кайзера–Мейера–Олкина KMO=0,669; совокупная объяснённая дисперси</w:t>
      </w:r>
      <w:r>
        <w:rPr>
          <w:rFonts w:hint="default" w:ascii="Times New Roman" w:hAnsi="Times New Roman" w:cs="Times New Roman"/>
          <w:sz w:val="24"/>
          <w:szCs w:val="24"/>
        </w:rPr>
        <w:t>я 95,5%) выявил устойчивый рост комплексной оценки эффективности с 7,23 (2016 г.) до 9,89 (2023 г.), подтверждая позитивное влияние реформы смешанной собственности на операционные и финансовые результаты компании.</w:t>
      </w:r>
    </w:p>
    <w:p w14:paraId="7F210B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397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Проведённое исследование показало, что российская и китайская модели трансформации государственных предприятий формируют положительные эффекты создания стоимости через принципиально различные механизмы: консолидацию под государственным контролем (Россия) и управляемую диверсификацию собственности (Китай), что свидетельствует об отсутствии единственно оптимальной модели управления государственной собственностью. Выбор механизма трансформации определяется институциональным контекстом, отраслевой спецификой и стратегическими приоритетами государственной экономической политики.</w:t>
      </w:r>
    </w:p>
    <w:p w14:paraId="70F9C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Список источников:</w:t>
      </w:r>
    </w:p>
    <w:p w14:paraId="577981C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firstLine="0"/>
        <w:jc w:val="both"/>
        <w:textAlignment w:val="auto"/>
        <w:rPr>
          <w:rFonts w:hint="eastAsia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eastAsia" w:ascii="Times New Roman" w:hAnsi="Times New Roman" w:eastAsia="宋体" w:cs="Times New Roman"/>
          <w:color w:val="353535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  <w:t>Wright M., Wood G., Musacchio A., Okhmatovskiy I., Grosman A., Doh J.P. State Capitalism in International Context: Varieties and Variations // J. World Bus. 2021. Vol. 56. Is. 2. 101160. DOI: 10.1016/j.jwb.2020.101160</w:t>
      </w:r>
    </w:p>
    <w:p w14:paraId="76247E6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eastAsia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eastAsia" w:ascii="Times New Roman" w:hAnsi="Times New Roman" w:eastAsia="宋体" w:cs="Times New Roman"/>
          <w:color w:val="353535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  <w:t>Lin K.J., Lu X., Zhang J., Zheng Y. State-Owned Enterprises in China: A Review of 40 Years of Research and Practice // China J. Account. Res. 2020. Vol. 13. Is. 1. P. 31–55. DOI: 10.1016/j.cjar.2019.12.001</w:t>
      </w:r>
    </w:p>
    <w:p w14:paraId="15F955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default" w:ascii="Times New Roman" w:hAnsi="Times New Roman" w:eastAsia="宋体" w:cs="Times New Roman"/>
          <w:color w:val="353535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ru-RU" w:eastAsia="zh-CN" w:bidi="ar"/>
        </w:rPr>
        <w:t>Количество хозяйствующих субъектов, относящихся к государственной собственности, по видам экономической деятельности (ОКВЭД2) (по данным государственной регистрации).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  <w:t xml:space="preserve">Росстат. URL: </w:t>
      </w:r>
      <w:r>
        <w:fldChar w:fldCharType="begin"/>
      </w:r>
      <w:r>
        <w:instrText xml:space="preserve"> HYPERLINK "https://rosstat.gov.ru/folder/11191" </w:instrText>
      </w:r>
      <w:r>
        <w:fldChar w:fldCharType="separate"/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https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://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rosstat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.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gov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.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ru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/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folder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/11191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353535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  <w:t>(дата обращения: 15.03.2025).</w:t>
      </w:r>
    </w:p>
    <w:p w14:paraId="68806D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val="ru-RU" w:eastAsia="zh-CN"/>
        </w:rPr>
        <w:t xml:space="preserve">Ежегодник по контролю и управлению государственным имуществом Китая. </w:t>
      </w:r>
      <w:r>
        <w:rPr>
          <w:rFonts w:hint="eastAsia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  <w:t>SASAC.</w:t>
      </w:r>
      <w:r>
        <w:rPr>
          <w:rFonts w:ascii="Times New Roman" w:hAnsi="Times New Roman" w:eastAsia="宋体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URL</w:t>
      </w:r>
      <w:r>
        <w:rPr>
          <w:rFonts w:ascii="Times New Roman" w:hAnsi="Times New Roman" w:eastAsia="宋体" w:cs="Times New Roman"/>
          <w:sz w:val="24"/>
          <w:szCs w:val="24"/>
          <w:lang w:val="ru-RU" w:eastAsia="zh-CN"/>
        </w:rPr>
        <w:t xml:space="preserve">: </w:t>
      </w:r>
      <w:r>
        <w:fldChar w:fldCharType="begin"/>
      </w:r>
      <w:r>
        <w:instrText xml:space="preserve"> HYPERLINK "http://www.sasac.gov.cn/n16582853/index.html" </w:instrText>
      </w:r>
      <w:r>
        <w:fldChar w:fldCharType="separate"/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http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://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www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.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sasac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.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gov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.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cn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/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n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16582853/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index</w:t>
      </w:r>
      <w:r>
        <w:rPr>
          <w:rStyle w:val="7"/>
          <w:rFonts w:ascii="Times New Roman" w:hAnsi="Times New Roman" w:eastAsia="宋体" w:cs="Times New Roman"/>
          <w:sz w:val="24"/>
          <w:szCs w:val="24"/>
          <w:lang w:val="ru-RU" w:eastAsia="zh-CN" w:bidi="ar"/>
        </w:rPr>
        <w:t>.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t>html</w:t>
      </w:r>
      <w:r>
        <w:rPr>
          <w:rStyle w:val="7"/>
          <w:rFonts w:ascii="Times New Roman" w:hAnsi="Times New Roman" w:eastAsia="宋体" w:cs="Times New Roman"/>
          <w:sz w:val="24"/>
          <w:szCs w:val="24"/>
          <w:lang w:eastAsia="zh-CN" w:bidi="ar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  <w:lang w:val="ru-RU" w:eastAsia="zh-CN" w:bidi="ar"/>
        </w:rPr>
        <w:t xml:space="preserve"> </w:t>
      </w:r>
      <w:r>
        <w:rPr>
          <w:rFonts w:hint="eastAsia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  <w:t>(дата обращения: 15.03.2025).</w:t>
      </w:r>
    </w:p>
    <w:p w14:paraId="3DABE27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</w:pPr>
      <w:r>
        <w:rPr>
          <w:rFonts w:hint="eastAsia" w:ascii="Times New Roman" w:hAnsi="Times New Roman" w:eastAsia="宋体" w:cs="Times New Roman"/>
          <w:color w:val="353535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ПАО «Ростелеком». Годовой отчёт за 2020 год. М., 2021. URL: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instrText xml:space="preserve"> HYPERLINK "https://www.company.rt.ru/ir/agm/annual_reports/" </w:instrTex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https://www.company.rt.ru/ir/agm/annual_reports/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(дата обращения: 15.03.2025).</w:t>
      </w:r>
    </w:p>
    <w:p w14:paraId="627B754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eastAsia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eastAsia" w:ascii="Times New Roman" w:hAnsi="Times New Roman" w:eastAsia="宋体" w:cs="Times New Roman"/>
          <w:color w:val="353535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  <w:t>Хуан Цюньхуй. Углубление оптимизации размещения и структурной перестройки государственной экономики на новом этапе развития // Управление миром. 2021. Т. 37. №3.</w:t>
      </w:r>
    </w:p>
    <w:p w14:paraId="72B2CA4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hint="eastAsia"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eastAsia" w:ascii="Times New Roman" w:hAnsi="Times New Roman" w:eastAsia="宋体" w:cs="Times New Roman"/>
          <w:color w:val="353535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  <w:t>MacKinlay A.C. Event Studies in Economics and Finance // Journal of Economic Literature. 1997. Vol. 35. No. 1. P. 13–39.</w:t>
      </w:r>
    </w:p>
    <w:p w14:paraId="025459A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Times New Roman" w:cs="Times New Roman"/>
          <w:color w:val="353535"/>
          <w:kern w:val="0"/>
          <w:sz w:val="24"/>
          <w:szCs w:val="24"/>
          <w:lang w:val="ru-RU"/>
          <w14:ligatures w14:val="none"/>
        </w:rPr>
      </w:pPr>
      <w:r>
        <w:rPr>
          <w:rFonts w:hint="eastAsia" w:ascii="Times New Roman" w:hAnsi="Times New Roman" w:eastAsia="宋体" w:cs="Times New Roman"/>
          <w:color w:val="353535"/>
          <w:kern w:val="0"/>
          <w:sz w:val="24"/>
          <w:szCs w:val="24"/>
          <w:lang w:val="en-US" w:eastAsia="zh-CN"/>
          <w14:ligatures w14:val="none"/>
        </w:rPr>
        <w:t xml:space="preserve"> Goretzko D., Pham T.T.H., Bühner M. Exploratory Factor Analysis: Current Use, Methodological Developments and Recommendations for Good Practice // Curr. Psychol. 2021. Vol. 40. P. 3510–3521. DOI: 10.1007/s12144-019-00300-2</w:t>
      </w:r>
    </w:p>
    <w:p w14:paraId="15BC9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宋体" w:cs="Times New Roman"/>
          <w:i/>
          <w:iCs/>
          <w:caps w:val="0"/>
          <w:color w:val="000000"/>
          <w:spacing w:val="0"/>
          <w:sz w:val="24"/>
          <w:szCs w:val="24"/>
          <w:bdr w:val="single" w:color="E5E7EB" w:sz="2" w:space="0"/>
          <w:lang w:val="ru-RU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5971A"/>
    <w:multiLevelType w:val="multilevel"/>
    <w:tmpl w:val="0D65971A"/>
    <w:lvl w:ilvl="0" w:tentative="0">
      <w:start w:val="1"/>
      <w:numFmt w:val="decimal"/>
      <w:suff w:val="nothing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4B8A"/>
    <w:rsid w:val="031C2A5B"/>
    <w:rsid w:val="0A357AEC"/>
    <w:rsid w:val="10CC2FFA"/>
    <w:rsid w:val="13193E15"/>
    <w:rsid w:val="21DC4480"/>
    <w:rsid w:val="239B2D73"/>
    <w:rsid w:val="2A25002F"/>
    <w:rsid w:val="2DCD7598"/>
    <w:rsid w:val="31440D43"/>
    <w:rsid w:val="3949568C"/>
    <w:rsid w:val="3B346638"/>
    <w:rsid w:val="54351A24"/>
    <w:rsid w:val="6098238E"/>
    <w:rsid w:val="686E7A11"/>
    <w:rsid w:val="7AD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2026-04-04T13:37:11Z</dcterms:created>
  <dc:creator>刘星</dc:creator>
  <cp:lastModifiedBy>Lulu</cp:lastModifiedBy>
  <dcterms:modified xsi:type="dcterms:W3CDTF">2026-04-05T10:41:01Z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eyJoZGlkIjoiNzI1MzljODBiNDliMzEyMzFlZWNlN2EzYjU0N2YzMWEiLCJ1c2VySWQiOiIyNTg3NDQwMjEifQ==</vt:lpwstr>
  </property>
  <property fmtid="{D5CDD505-2E9C-101B-9397-08002B2CF9AE}" pid="4" name="ICV">
    <vt:lpwstr>D489D4742B2F40C4A3A5836189194EE3_12</vt:lpwstr>
  </property>
</Properties>
</file>