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B2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Segoe UI" w:cs="Times New Roman"/>
          <w:b/>
          <w:bCs/>
          <w:sz w:val="24"/>
          <w:szCs w:val="24"/>
          <w:shd w:val="clear" w:color="auto" w:fill="FFFFFF"/>
          <w:lang w:val="en-US" w:eastAsia="zh-CN"/>
        </w:rPr>
      </w:pPr>
      <w:r>
        <w:rPr>
          <w:rFonts w:hint="default" w:ascii="Times New Roman" w:hAnsi="Times New Roman" w:eastAsia="Segoe UI" w:cs="Times New Roman"/>
          <w:b/>
          <w:bCs/>
          <w:sz w:val="24"/>
          <w:szCs w:val="24"/>
          <w:shd w:val="clear" w:color="auto" w:fill="FFFFFF"/>
          <w:lang w:val="en-US" w:eastAsia="zh-CN"/>
        </w:rPr>
        <w:t>Impact of anthropogenic pH shifts and heavy metal pollution on plants by spectral-temporal characteristics of the anthocyanins</w:t>
      </w:r>
    </w:p>
    <w:p w14:paraId="0676B5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pPr>
      <w:bookmarkStart w:id="0" w:name="_GoBack"/>
      <w:bookmarkEnd w:id="0"/>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Y. Rao</w:t>
      </w:r>
      <w:r>
        <w:rPr>
          <w:rFonts w:hint="eastAsia" w:ascii="Times New Roman" w:hAnsi="Times New Roman" w:eastAsia="Helvetica Neue" w:cs="Times New Roman"/>
          <w:i w:val="0"/>
          <w:iCs w:val="0"/>
          <w:caps w:val="0"/>
          <w:color w:val="0F1115"/>
          <w:spacing w:val="0"/>
          <w:kern w:val="0"/>
          <w:sz w:val="24"/>
          <w:szCs w:val="24"/>
          <w:u w:val="none"/>
          <w:shd w:val="clear" w:fill="FFFFFF"/>
          <w:vertAlign w:val="superscript"/>
          <w:lang w:val="en-US" w:eastAsia="zh-CN" w:bidi="ar"/>
        </w:rPr>
        <w:t>1</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 K. E. Klementyev</w:t>
      </w:r>
      <w:r>
        <w:rPr>
          <w:rFonts w:hint="eastAsia" w:ascii="Times New Roman" w:hAnsi="Times New Roman" w:eastAsia="Helvetica Neue" w:cs="Times New Roman"/>
          <w:i w:val="0"/>
          <w:iCs w:val="0"/>
          <w:caps w:val="0"/>
          <w:color w:val="0F1115"/>
          <w:spacing w:val="0"/>
          <w:kern w:val="0"/>
          <w:sz w:val="24"/>
          <w:szCs w:val="24"/>
          <w:u w:val="none"/>
          <w:shd w:val="clear" w:fill="FFFFFF"/>
          <w:vertAlign w:val="superscript"/>
          <w:lang w:val="en-US" w:eastAsia="zh-CN" w:bidi="ar"/>
        </w:rPr>
        <w:t>1*</w:t>
      </w:r>
    </w:p>
    <w:p w14:paraId="280B66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pPr>
      <w:r>
        <w:rPr>
          <w:rFonts w:hint="eastAsia" w:ascii="Times New Roman" w:hAnsi="Times New Roman" w:eastAsia="Helvetica Neue" w:cs="Times New Roman"/>
          <w:i w:val="0"/>
          <w:iCs w:val="0"/>
          <w:caps w:val="0"/>
          <w:color w:val="0F1115"/>
          <w:spacing w:val="0"/>
          <w:kern w:val="0"/>
          <w:sz w:val="24"/>
          <w:szCs w:val="24"/>
          <w:u w:val="none"/>
          <w:shd w:val="clear" w:fill="FFFFFF"/>
          <w:vertAlign w:val="superscript"/>
          <w:lang w:val="en-US" w:eastAsia="zh-CN" w:bidi="ar"/>
        </w:rPr>
        <w:t>1</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Faculty of Biology, Shenzhen MSU-BIT University, Shenzhen 518172, China</w:t>
      </w:r>
    </w:p>
    <w:p w14:paraId="0E51DA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pP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*Corresponding author: E-mail: klementyevke@gmail.com</w:t>
      </w:r>
    </w:p>
    <w:p w14:paraId="3AFF76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pP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Anthocyanins represent a major class of water-soluble flavonoid pigments, ubiquitous throughout the plant kingdom, whose core structure is derived from the flavylium cation. They exhibit remarkable structural transformations in response to pH variations, making them ideal candidates for developing eco-friendly sensing</w:t>
      </w:r>
      <w:r>
        <w:rPr>
          <w:rFonts w:hint="eastAsia" w:ascii="Times New Roman" w:hAnsi="Times New Roman" w:eastAsia="Helvetica Neue" w:cs="Times New Roman"/>
          <w:i w:val="0"/>
          <w:iCs w:val="0"/>
          <w:caps w:val="0"/>
          <w:color w:val="0F1115"/>
          <w:spacing w:val="0"/>
          <w:kern w:val="0"/>
          <w:sz w:val="24"/>
          <w:szCs w:val="24"/>
          <w:u w:val="none"/>
          <w:shd w:val="clear" w:fill="FFFFFF"/>
          <w:lang w:val="en-US" w:eastAsia="zh-CN" w:bidi="ar"/>
        </w:rPr>
        <w:t xml:space="preserve"> </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materials. [1]This property stems from their unique molecular architecture that undergoes reversible protonation-deprotonation equilibria across different pH environments[2]. The systematic analysis of their spectral-temporal characteristics across wide pH ranges, as well as their responses to heavy metal stress, remains insufficiently explored. This study aims to</w:t>
      </w:r>
      <w:r>
        <w:rPr>
          <w:rFonts w:hint="eastAsia" w:ascii="Times New Roman" w:hAnsi="Times New Roman" w:eastAsia="Helvetica Neue" w:cs="Times New Roman"/>
          <w:i w:val="0"/>
          <w:iCs w:val="0"/>
          <w:caps w:val="0"/>
          <w:color w:val="0F1115"/>
          <w:spacing w:val="0"/>
          <w:kern w:val="0"/>
          <w:sz w:val="24"/>
          <w:szCs w:val="24"/>
          <w:u w:val="none"/>
          <w:shd w:val="clear" w:fill="FFFFFF"/>
          <w:lang w:val="en-US" w:eastAsia="zh-CN" w:bidi="ar"/>
        </w:rPr>
        <w:t xml:space="preserve"> </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 xml:space="preserve">comprehensively investigate the pH-dependent spectral behavior of anthocyanins from red cabbage and Tradescantia pallida using advanced spectroscopic techniques. Through UV-Vis absorption and fluorescence spectroscopy, TCSPC lifetime analyses in controlled buffer systems, </w:t>
      </w:r>
      <w:r>
        <w:rPr>
          <w:rFonts w:hint="eastAsia" w:ascii="Times New Roman" w:hAnsi="Times New Roman" w:eastAsia="Helvetica Neue" w:cs="Times New Roman"/>
          <w:i w:val="0"/>
          <w:iCs w:val="0"/>
          <w:caps w:val="0"/>
          <w:color w:val="0F1115"/>
          <w:spacing w:val="0"/>
          <w:kern w:val="0"/>
          <w:sz w:val="24"/>
          <w:szCs w:val="24"/>
          <w:u w:val="none"/>
          <w:shd w:val="clear" w:fill="FFFFFF"/>
          <w:lang w:val="en-US" w:eastAsia="zh-CN" w:bidi="ar"/>
        </w:rPr>
        <w:t>r</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ed cabbage anthocyanins exhibit distinct, pH-dependent changes in their absorption and fluorescence. The</w:t>
      </w:r>
      <w:r>
        <w:rPr>
          <w:rFonts w:hint="eastAsia" w:ascii="Times New Roman" w:hAnsi="Times New Roman" w:eastAsia="Helvetica Neue" w:cs="Times New Roman"/>
          <w:i w:val="0"/>
          <w:iCs w:val="0"/>
          <w:caps w:val="0"/>
          <w:color w:val="0F1115"/>
          <w:spacing w:val="0"/>
          <w:kern w:val="0"/>
          <w:sz w:val="24"/>
          <w:szCs w:val="24"/>
          <w:u w:val="none"/>
          <w:shd w:val="clear" w:fill="FFFFFF"/>
          <w:lang w:val="en-US" w:eastAsia="zh-CN" w:bidi="ar"/>
        </w:rPr>
        <w:t xml:space="preserve"> </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absorption spectrum shifts from red (520 nm, acidic) to blue (600-650 nm, alkaline), corresponding to the</w:t>
      </w:r>
      <w:r>
        <w:rPr>
          <w:rFonts w:hint="eastAsia" w:ascii="Times New Roman" w:hAnsi="Times New Roman" w:eastAsia="Helvetica Neue" w:cs="Times New Roman"/>
          <w:i w:val="0"/>
          <w:iCs w:val="0"/>
          <w:caps w:val="0"/>
          <w:color w:val="0F1115"/>
          <w:spacing w:val="0"/>
          <w:kern w:val="0"/>
          <w:sz w:val="24"/>
          <w:szCs w:val="24"/>
          <w:u w:val="none"/>
          <w:shd w:val="clear" w:fill="FFFFFF"/>
          <w:lang w:val="en-US" w:eastAsia="zh-CN" w:bidi="ar"/>
        </w:rPr>
        <w:t xml:space="preserve"> </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transformation between flavylium cation and quinonoidal base structures.</w:t>
      </w:r>
      <w:r>
        <w:rPr>
          <w:rFonts w:hint="eastAsia" w:ascii="Times New Roman" w:hAnsi="Times New Roman" w:eastAsia="Helvetica Neue" w:cs="Times New Roman"/>
          <w:i w:val="0"/>
          <w:iCs w:val="0"/>
          <w:caps w:val="0"/>
          <w:color w:val="0F1115"/>
          <w:spacing w:val="0"/>
          <w:kern w:val="0"/>
          <w:sz w:val="24"/>
          <w:szCs w:val="24"/>
          <w:u w:val="none"/>
          <w:shd w:val="clear" w:fill="FFFFFF"/>
          <w:lang w:val="en-US" w:eastAsia="zh-CN" w:bidi="ar"/>
        </w:rPr>
        <w:t xml:space="preserve"> </w:t>
      </w:r>
      <w:r>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t>It is predicted that copper ion stress will modify these spectral signals via anthocyanin-metal chelation and will inhibit photosynthetic parameters, respiration, carbon metabolism, and cellular microstructure in Tradescantia pallida. These spectral features can simultaneously analyze the protonation state, conjugated structure and aggregation morphology of anthocyanins, and precisely correlate microenvironmental parameters such as pH and heavy metal stress with plant physiological functions, thereby forming a spectral fingerprint that connects molecular structure with ecological adaptation and environmental monitoring.</w:t>
      </w:r>
    </w:p>
    <w:p w14:paraId="6BCCCC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Helvetica Neue" w:cs="Times New Roman"/>
          <w:i w:val="0"/>
          <w:iCs w:val="0"/>
          <w:caps w:val="0"/>
          <w:color w:val="0F1115"/>
          <w:spacing w:val="0"/>
          <w:kern w:val="0"/>
          <w:sz w:val="24"/>
          <w:szCs w:val="24"/>
          <w:u w:val="none"/>
          <w:shd w:val="clear" w:fill="FFFFFF"/>
          <w:lang w:val="en-US" w:eastAsia="zh-CN" w:bidi="ar"/>
        </w:rPr>
      </w:pPr>
    </w:p>
    <w:p w14:paraId="3686D35B">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hanging="480" w:hangingChars="2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Enaru B , Drecanu G , Pop T D ,et al. Anthocyanins: Factors Affecting Their Stability and Degradation[J].Antioxidants, 2021, 10(12).DOI:10.3390/antiox10121967.</w:t>
      </w:r>
    </w:p>
    <w:p w14:paraId="0B32C2FD">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hanging="480" w:hangingChars="20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Maciela,Laercio,Galvao,et al. Hibiscus sabdariffa anthocyanins-rich extract: Chemical stability, in vitro antioxidant and antiproliferative activities[J].Food and Chemical Toxicology: An International Journal Published for the British Industrial Biological Research, 2018.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egoe UI">
    <w:altName w:val="苹方-简"/>
    <w:panose1 w:val="020B0502040204020203"/>
    <w:charset w:val="00"/>
    <w:family w:val="auto"/>
    <w:pitch w:val="default"/>
    <w:sig w:usb0="00000000" w:usb1="00000000" w:usb2="00000009" w:usb3="00000000" w:csb0="200001F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AA5AC"/>
    <w:multiLevelType w:val="singleLevel"/>
    <w:tmpl w:val="512AA5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E4C71"/>
    <w:rsid w:val="173B5D86"/>
    <w:rsid w:val="1FF168E3"/>
    <w:rsid w:val="2FFE2C67"/>
    <w:rsid w:val="4C8C2AF5"/>
    <w:rsid w:val="69FC3C45"/>
    <w:rsid w:val="7ADAC5E8"/>
    <w:rsid w:val="7EF07BB0"/>
    <w:rsid w:val="973BAC05"/>
    <w:rsid w:val="9BFE4C71"/>
    <w:rsid w:val="CFA76DDD"/>
    <w:rsid w:val="DDFF2F52"/>
    <w:rsid w:val="DFEA9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237</Words>
  <Characters>1767</Characters>
  <Lines>0</Lines>
  <Paragraphs>0</Paragraphs>
  <TotalTime>0</TotalTime>
  <ScaleCrop>false</ScaleCrop>
  <LinksUpToDate>false</LinksUpToDate>
  <CharactersWithSpaces>1998</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2025-10-19T23:44:00Z</dcterms:created>
  <dc:creator>微雨竹窗夜话</dc:creator>
  <cp:lastModifiedBy>raoyiwei</cp:lastModifiedBy>
  <dcterms:modified xsi:type="dcterms:W3CDTF">2026-04-06T23:08:39Z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C5E5A5B5CDFAB808DD74F268C157342D_43</vt:lpwstr>
  </property>
  <property fmtid="{D5CDD505-2E9C-101B-9397-08002B2CF9AE}" pid="4" name="KSOTemplateDocerSaveRecord">
    <vt:lpwstr>eyJoZGlkIjoiZWYzZjdlZDQwY2Q4ZTdlZjYxYjU5MmZlZWViYTQ1YTYiLCJ1c2VySWQiOiI2MzkxNDA3MDMifQ==</vt:lpwstr>
  </property>
</Properties>
</file>