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4CEA7" w14:textId="77777777" w:rsidR="009A4EE8" w:rsidRDefault="00B41B26">
      <w:pPr>
        <w:jc w:val="center"/>
        <w:rPr>
          <w:lang w:val="en-US"/>
        </w:rPr>
      </w:pPr>
      <w:r>
        <w:rPr>
          <w:b/>
          <w:lang w:val="en-US"/>
        </w:rPr>
        <w:t>Benthic prokaryotic communities in Dapeng beaches (Shenzhen, Guangdong Province): pilot study using DNA metabarcoding</w:t>
      </w:r>
    </w:p>
    <w:p w14:paraId="08089877" w14:textId="77777777" w:rsidR="009A4EE8" w:rsidRDefault="00B41B26">
      <w:pPr>
        <w:jc w:val="center"/>
        <w:rPr>
          <w:lang w:val="en-US"/>
        </w:rPr>
      </w:pPr>
      <w:r>
        <w:rPr>
          <w:b/>
          <w:i/>
          <w:lang w:val="en-US"/>
        </w:rPr>
        <w:t>Aihemaiti Tunishaguli</w:t>
      </w:r>
    </w:p>
    <w:p w14:paraId="4CCDBEC2" w14:textId="77777777" w:rsidR="009A4EE8" w:rsidRDefault="00B41B26">
      <w:pPr>
        <w:jc w:val="center"/>
        <w:rPr>
          <w:lang w:val="en-US"/>
        </w:rPr>
      </w:pPr>
      <w:r>
        <w:rPr>
          <w:i/>
          <w:lang w:val="en-US"/>
        </w:rPr>
        <w:t>Master Student</w:t>
      </w:r>
    </w:p>
    <w:p w14:paraId="4D0EBB6B" w14:textId="77777777" w:rsidR="009A4EE8" w:rsidRDefault="00B41B26">
      <w:pPr>
        <w:jc w:val="center"/>
        <w:rPr>
          <w:i/>
          <w:lang w:val="en-US"/>
        </w:rPr>
      </w:pPr>
      <w:r>
        <w:rPr>
          <w:i/>
          <w:lang w:val="en-US"/>
        </w:rPr>
        <w:t>Shenzhen MSU-BIT University</w:t>
      </w:r>
    </w:p>
    <w:p w14:paraId="0C1BF4CB" w14:textId="77777777" w:rsidR="009A4EE8" w:rsidRDefault="00B41B26">
      <w:pPr>
        <w:jc w:val="center"/>
        <w:rPr>
          <w:lang w:val="en-US"/>
        </w:rPr>
      </w:pPr>
      <w:r>
        <w:rPr>
          <w:i/>
          <w:lang w:val="en-US"/>
        </w:rPr>
        <w:t xml:space="preserve"> Faculty of Biology, Shenzhen, China</w:t>
      </w:r>
    </w:p>
    <w:p w14:paraId="278ABAD5" w14:textId="77777777" w:rsidR="009A4EE8" w:rsidRDefault="00B41B26">
      <w:pPr>
        <w:spacing w:after="200"/>
        <w:jc w:val="center"/>
        <w:rPr>
          <w:lang w:val="en-US"/>
        </w:rPr>
      </w:pPr>
      <w:r>
        <w:rPr>
          <w:i/>
          <w:lang w:val="en-US"/>
        </w:rPr>
        <w:t xml:space="preserve">E-mail: </w:t>
      </w:r>
      <w:r>
        <w:rPr>
          <w:rFonts w:eastAsia="宋体" w:hint="eastAsia"/>
          <w:i/>
          <w:lang w:val="en-US"/>
        </w:rPr>
        <w:t>Catherine6811</w:t>
      </w:r>
      <w:r>
        <w:rPr>
          <w:i/>
          <w:lang w:val="en-US"/>
        </w:rPr>
        <w:t>@</w:t>
      </w:r>
      <w:r>
        <w:rPr>
          <w:rFonts w:eastAsia="宋体" w:hint="eastAsia"/>
          <w:i/>
          <w:lang w:val="en-US"/>
        </w:rPr>
        <w:t>qq</w:t>
      </w:r>
      <w:r>
        <w:rPr>
          <w:i/>
          <w:lang w:val="en-US"/>
        </w:rPr>
        <w:t>.com</w:t>
      </w:r>
    </w:p>
    <w:p w14:paraId="102E41DE" w14:textId="30526960" w:rsidR="009A4EE8" w:rsidRDefault="00B41B26">
      <w:pPr>
        <w:ind w:firstLine="708"/>
        <w:jc w:val="both"/>
        <w:rPr>
          <w:lang w:val="en-US"/>
        </w:rPr>
      </w:pPr>
      <w:r>
        <w:rPr>
          <w:lang w:val="en-US"/>
        </w:rPr>
        <w:t>Coastal sediments are Earth's most active bioreactors, hosting prokaryotes that drive nutrient regeneration, pollutant attenuation and carbon burial. Their community structure responds rapidly to anthropogenic stress, making them sensitive sentinels of near-shore health. This study aimed to reveal how different environments drive benthic prokaryotic communities in Dapeng Bay, Shenzhen using DNA metabarcoding technique [1, 2].</w:t>
      </w:r>
    </w:p>
    <w:p w14:paraId="59A195DF" w14:textId="64A15533" w:rsidR="009A4EE8" w:rsidRDefault="00B41B26">
      <w:pPr>
        <w:ind w:firstLine="708"/>
        <w:jc w:val="both"/>
        <w:rPr>
          <w:lang w:val="en-US"/>
        </w:rPr>
      </w:pPr>
      <w:r>
        <w:rPr>
          <w:lang w:val="en-US"/>
        </w:rPr>
        <w:t>Sediment samples were collected from two beaches DongChong (DC) and BaGuang (BG) across three tidal zones (upper, middle, lower), totally 36 samples. Physicochemical parameters (ORP, pH, temperature, salinity, grain size, organic matter) were measured. DNA was extracted using HiPure Soil DNA Kit and the 16S rRNA V4 region was amplified on the Illumina platform with pair-end sequencing [3]. Bioinformatic analysis was performed using DADA2 pipiline. Statistical analysis included alpha diversity indices, rarefaction curves, and PCoA analysis using Bray-Curtis and Jaccard dissimilarity metrics.</w:t>
      </w:r>
    </w:p>
    <w:p w14:paraId="26FF7D01" w14:textId="77777777" w:rsidR="009A4EE8" w:rsidRDefault="00B41B26">
      <w:pPr>
        <w:ind w:firstLine="708"/>
        <w:jc w:val="both"/>
        <w:rPr>
          <w:lang w:val="en-US"/>
        </w:rPr>
      </w:pPr>
      <w:r>
        <w:rPr>
          <w:lang w:val="en-US"/>
        </w:rPr>
        <w:t xml:space="preserve">Significant environmental gradients were observed: DongChong showed oxic conditions (ORP +70 to +143 mV) with coarse sand, while BaGuang exhibited anoxic conditions (ORP -73 to -149 mV) with fine sediments. BaGuang had the highest temperature (32.3°C) and salinity (39‰). Alpha diversity analysis revealed ASVs richness of 3,500-5,000 (DC), and 4,000-5,500 (BG). All beaches showed significant community differences between tidal zones (PERMANOVA, p&lt;0.05). PCoA analysis demonstrated clear zone separation: DC (PC1=11.7%, F=1.57, p=0.002), and BG (PC1=46.5%, F=6.59, p=0.001). </w:t>
      </w:r>
      <w:r>
        <w:rPr>
          <w:i/>
          <w:iCs/>
          <w:lang w:val="en-US"/>
        </w:rPr>
        <w:t>Pseudomonadota</w:t>
      </w:r>
      <w:r>
        <w:rPr>
          <w:lang w:val="en-US"/>
        </w:rPr>
        <w:t xml:space="preserve"> dominated all communities (40-60%), with zone-specific patterns enriched with </w:t>
      </w:r>
      <w:r>
        <w:rPr>
          <w:i/>
          <w:iCs/>
          <w:lang w:val="en-US"/>
        </w:rPr>
        <w:t>Bacteroidota</w:t>
      </w:r>
      <w:r>
        <w:rPr>
          <w:lang w:val="en-US"/>
        </w:rPr>
        <w:t xml:space="preserve"> and </w:t>
      </w:r>
      <w:r>
        <w:rPr>
          <w:i/>
          <w:iCs/>
          <w:lang w:val="en-US"/>
        </w:rPr>
        <w:t>Planctomycetota</w:t>
      </w:r>
      <w:r>
        <w:rPr>
          <w:lang w:val="en-US"/>
        </w:rPr>
        <w:t>.</w:t>
      </w:r>
    </w:p>
    <w:p w14:paraId="326B65E8" w14:textId="77777777" w:rsidR="009A4EE8" w:rsidRDefault="00B41B26">
      <w:pPr>
        <w:ind w:firstLine="709"/>
        <w:jc w:val="both"/>
        <w:rPr>
          <w:lang w:val="en-US"/>
        </w:rPr>
      </w:pPr>
      <w:r>
        <w:rPr>
          <w:lang w:val="en-US"/>
        </w:rPr>
        <w:t>This study demonstrated that ORP and sediment grain size are key structuring factors for benthic prokaryotic communities. Organic matter content positively correlates with community diversity. The results provide baseline data for assessing anthropogenic impact on coastal ecosystems and establish a background for predictive modeling of microbial community responses to environmental changes in Shenzhen Bay.</w:t>
      </w:r>
    </w:p>
    <w:p w14:paraId="6E12E461" w14:textId="77777777" w:rsidR="009A4EE8" w:rsidRDefault="00B41B26">
      <w:pPr>
        <w:ind w:firstLine="397"/>
        <w:jc w:val="both"/>
        <w:rPr>
          <w:rFonts w:eastAsia="宋体" w:cs="Times New Roman"/>
          <w:lang w:val="en-US"/>
        </w:rPr>
      </w:pPr>
      <w:r>
        <w:rPr>
          <w:rFonts w:eastAsia="宋体" w:cs="Times New Roman"/>
          <w:lang w:val="en-US"/>
        </w:rPr>
        <w:t>The author is deeply grateful to the scientific supervisor A.O. Plotnikov, MD, PhD, and A.S. Esaulov, PhD, for their support and valuable advice.</w:t>
      </w:r>
    </w:p>
    <w:p w14:paraId="5D314740" w14:textId="77777777" w:rsidR="009A4EE8" w:rsidRDefault="00B41B26">
      <w:pPr>
        <w:rPr>
          <w:lang w:val="en-US"/>
        </w:rPr>
      </w:pPr>
      <w:r>
        <w:rPr>
          <w:b/>
          <w:lang w:val="en-US"/>
        </w:rPr>
        <w:t>References</w:t>
      </w:r>
    </w:p>
    <w:p w14:paraId="66F68240" w14:textId="77777777" w:rsidR="009A4EE8" w:rsidRDefault="00B41B26">
      <w:pPr>
        <w:pStyle w:val="1"/>
        <w:widowControl w:val="0"/>
        <w:ind w:left="0" w:right="-23" w:firstLine="0"/>
        <w:rPr>
          <w:rFonts w:eastAsia="宋体" w:cs="Times New Roman"/>
          <w:lang w:val="en-US"/>
        </w:rPr>
      </w:pPr>
      <w:r>
        <w:rPr>
          <w:rFonts w:eastAsia="宋体" w:cs="Times New Roman"/>
          <w:lang w:val="en-US"/>
        </w:rPr>
        <w:t xml:space="preserve">[1] Da Silva V.C., Fernandes N.M. Exploring the impact of urban pollution on ciliate diversity along the Sapucaí River (Minas Gerais, Brazil) via DNA metabarcoding // </w:t>
      </w:r>
      <w:r>
        <w:rPr>
          <w:rFonts w:eastAsia="宋体" w:cs="Times New Roman"/>
          <w:i/>
          <w:iCs/>
          <w:lang w:val="en-US"/>
        </w:rPr>
        <w:t>Molecular Biology Reports</w:t>
      </w:r>
      <w:r>
        <w:rPr>
          <w:rFonts w:eastAsia="宋体" w:cs="Times New Roman"/>
          <w:lang w:val="en-US"/>
        </w:rPr>
        <w:t>. 2024, No. 51(1), pp. 967.</w:t>
      </w:r>
    </w:p>
    <w:p w14:paraId="546345A3" w14:textId="77777777" w:rsidR="009A4EE8" w:rsidRDefault="00B41B26">
      <w:pPr>
        <w:pStyle w:val="1"/>
        <w:widowControl w:val="0"/>
        <w:ind w:left="0" w:right="-23" w:firstLine="0"/>
        <w:rPr>
          <w:rFonts w:eastAsia="宋体" w:cs="Times New Roman"/>
          <w:lang w:val="en-US"/>
        </w:rPr>
      </w:pPr>
      <w:r>
        <w:rPr>
          <w:rFonts w:eastAsia="宋体" w:cs="Times New Roman"/>
          <w:lang w:val="en-US"/>
        </w:rPr>
        <w:t xml:space="preserve">[2] Meyneng M., Siano R., Mouras N., Ansquer D., Laporte-Magoni C., Antypas F., Haize T., Lemonnier H. The Origin of the Matter Matters: The Influence of Terrestrial Inputs on Coastal Benthic Microeukaryote Communities Revealed by eDNA // </w:t>
      </w:r>
      <w:r>
        <w:rPr>
          <w:rFonts w:eastAsia="宋体" w:cs="Times New Roman"/>
          <w:i/>
          <w:iCs/>
          <w:lang w:val="en-US"/>
        </w:rPr>
        <w:t>Environmental DNA</w:t>
      </w:r>
      <w:r>
        <w:rPr>
          <w:rFonts w:eastAsia="宋体" w:cs="Times New Roman"/>
          <w:lang w:val="en-US"/>
        </w:rPr>
        <w:t>. 2024, No. 6(6), pp. e70041.</w:t>
      </w:r>
    </w:p>
    <w:p w14:paraId="5B6DBE32" w14:textId="77777777" w:rsidR="009A4EE8" w:rsidRDefault="00B41B26">
      <w:pPr>
        <w:pStyle w:val="1"/>
        <w:widowControl w:val="0"/>
        <w:ind w:left="0" w:right="-23" w:firstLine="0"/>
        <w:rPr>
          <w:rFonts w:eastAsia="宋体" w:cs="Times New Roman"/>
          <w:lang w:val="en-US"/>
        </w:rPr>
      </w:pPr>
      <w:r>
        <w:rPr>
          <w:rFonts w:eastAsia="宋体" w:cs="Times New Roman"/>
          <w:lang w:val="en-US"/>
        </w:rPr>
        <w:t xml:space="preserve">[3] Caporaso J.G., Kuczynski J., Stombaugh J., Bittinger K., Bushman F.D., Costello E.K., Fierer N., Peña A.G., Goodrich J.K., Gordon J.I., Huttley G.A., Kelley S.T., Knights D., Koenig J.E., Ley R.E., Lozupone C.A., McDonald D., Muegge B.D., Pirrung M., Reeder J., Sevinsky J.R., Turnbaugh P.J., Walters W.A., Widmann J., Yatsunenko T., Zaneveld J., Knight R. Global patterns of 16S rRNA diversity at a depth of millions of sequences per sample // </w:t>
      </w:r>
      <w:r>
        <w:rPr>
          <w:rFonts w:eastAsia="宋体" w:cs="Times New Roman"/>
          <w:i/>
          <w:iCs/>
          <w:lang w:val="en-US"/>
        </w:rPr>
        <w:t>Proceedings of the National Academy of Sciences</w:t>
      </w:r>
      <w:r>
        <w:rPr>
          <w:rFonts w:eastAsia="宋体" w:cs="Times New Roman"/>
          <w:lang w:val="en-US"/>
        </w:rPr>
        <w:t>. 2011, No. 108(supplement_1), pp. 4516-4522.</w:t>
      </w:r>
    </w:p>
    <w:sectPr w:rsidR="009A4EE8">
      <w:pgSz w:w="11906" w:h="16838"/>
      <w:pgMar w:top="1134" w:right="1361" w:bottom="1134" w:left="136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grammar="clean"/>
  <w:defaultTabStop w:val="708"/>
  <w:noPunctuationKerning/>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1460"/>
    <w:rsid w:val="00002204"/>
    <w:rsid w:val="00143E5A"/>
    <w:rsid w:val="002308D7"/>
    <w:rsid w:val="00401460"/>
    <w:rsid w:val="0076130B"/>
    <w:rsid w:val="00774FCF"/>
    <w:rsid w:val="007F5CAC"/>
    <w:rsid w:val="009A4EE8"/>
    <w:rsid w:val="00B41B26"/>
    <w:rsid w:val="00C223D2"/>
    <w:rsid w:val="00D417E6"/>
    <w:rsid w:val="00DB6F40"/>
    <w:rsid w:val="3FAF29CC"/>
    <w:rsid w:val="7AB76FD1"/>
    <w:rsid w:val="94C70EF7"/>
    <w:rsid w:val="EFADD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D4D57"/>
  <w15:docId w15:val="{33029E6B-2E04-4E12-9551-2300D623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ru-RU"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Pr>
      <w:rFonts w:eastAsia="Times New Roman" w:cstheme="min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Times New Roman" w:hint="eastAsia"/>
      <w:lang w:val="en-US"/>
    </w:rPr>
  </w:style>
  <w:style w:type="character" w:styleId="HTML0">
    <w:name w:val="HTML Code"/>
    <w:basedOn w:val="a0"/>
    <w:rPr>
      <w:rFonts w:ascii="Courier New" w:hAnsi="Courier New"/>
      <w:sz w:val="20"/>
    </w:rPr>
  </w:style>
  <w:style w:type="paragraph" w:customStyle="1" w:styleId="1">
    <w:name w:val="Список литературы1"/>
    <w:basedOn w:val="a"/>
    <w:next w:val="a"/>
    <w:uiPriority w:val="37"/>
    <w:unhideWhenUsed/>
    <w:pPr>
      <w:tabs>
        <w:tab w:val="left" w:pos="380"/>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494</Words>
  <Characters>3101</Characters>
  <Application>Microsoft Office Word</Application>
  <DocSecurity>0</DocSecurity>
  <Lines>50</Lines>
  <Paragraphs>15</Paragraphs>
  <ScaleCrop>false</ScaleCrop>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e57265</cp:lastModifiedBy>
  <cp:revision>8</cp:revision>
  <dcterms:created xsi:type="dcterms:W3CDTF">2026-04-07T05:09:00Z</dcterms:created>
  <dcterms:modified xsi:type="dcterms:W3CDTF">2026-04-06T13:33:00Z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CED85A9A5C60BCEFE39AD36950130A2E_43</vt:lpwstr>
  </property>
</Properties>
</file>