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C41627" w:rsidRPr="005D236B" w:rsidRDefault="00000000" w:rsidP="005D236B">
      <w:pPr>
        <w:spacing w:line="240" w:lineRule="auto"/>
        <w:ind w:firstLine="397"/>
        <w:jc w:val="center"/>
        <w:rPr>
          <w:rFonts w:ascii="Times New Roman" w:eastAsia="Times New Roman" w:hAnsi="Times New Roman" w:cs="Times New Roman"/>
          <w:b/>
          <w:bCs/>
          <w:color w:val="000000" w:themeColor="text1"/>
          <w:sz w:val="24"/>
          <w:szCs w:val="24"/>
        </w:rPr>
      </w:pPr>
      <w:r w:rsidRPr="005D236B">
        <w:rPr>
          <w:rFonts w:ascii="Times New Roman" w:eastAsia="Times New Roman" w:hAnsi="Times New Roman" w:cs="Times New Roman"/>
          <w:b/>
          <w:bCs/>
          <w:color w:val="000000" w:themeColor="text1"/>
          <w:sz w:val="24"/>
          <w:szCs w:val="24"/>
        </w:rPr>
        <w:t>Deep learning-based prediction of GPCR ligand activity.</w:t>
      </w:r>
    </w:p>
    <w:p w14:paraId="00000002" w14:textId="77777777" w:rsidR="00C41627" w:rsidRPr="005D236B" w:rsidRDefault="00000000" w:rsidP="005D236B">
      <w:pPr>
        <w:spacing w:line="240" w:lineRule="auto"/>
        <w:ind w:firstLine="397"/>
        <w:jc w:val="center"/>
        <w:rPr>
          <w:rFonts w:ascii="Times New Roman" w:eastAsia="Times New Roman" w:hAnsi="Times New Roman" w:cs="Times New Roman"/>
          <w:b/>
          <w:bCs/>
          <w:i/>
          <w:iCs/>
          <w:color w:val="000000" w:themeColor="text1"/>
          <w:sz w:val="24"/>
          <w:szCs w:val="24"/>
        </w:rPr>
      </w:pPr>
      <w:r w:rsidRPr="005D236B">
        <w:rPr>
          <w:rFonts w:ascii="Times New Roman" w:eastAsia="Times New Roman" w:hAnsi="Times New Roman" w:cs="Times New Roman"/>
          <w:b/>
          <w:bCs/>
          <w:i/>
          <w:iCs/>
          <w:color w:val="000000" w:themeColor="text1"/>
          <w:sz w:val="24"/>
          <w:szCs w:val="24"/>
        </w:rPr>
        <w:t xml:space="preserve">Kuznetsov Alexei </w:t>
      </w:r>
      <w:proofErr w:type="spellStart"/>
      <w:r w:rsidRPr="005D236B">
        <w:rPr>
          <w:rFonts w:ascii="Times New Roman" w:eastAsia="Times New Roman" w:hAnsi="Times New Roman" w:cs="Times New Roman"/>
          <w:b/>
          <w:bCs/>
          <w:i/>
          <w:iCs/>
          <w:color w:val="000000" w:themeColor="text1"/>
          <w:sz w:val="24"/>
          <w:szCs w:val="24"/>
        </w:rPr>
        <w:t>Andreevich</w:t>
      </w:r>
      <w:proofErr w:type="spellEnd"/>
    </w:p>
    <w:p w14:paraId="00000003" w14:textId="77777777" w:rsidR="00C41627" w:rsidRPr="005D236B" w:rsidRDefault="00000000" w:rsidP="005D236B">
      <w:pPr>
        <w:spacing w:line="240" w:lineRule="auto"/>
        <w:ind w:firstLine="397"/>
        <w:jc w:val="center"/>
        <w:rPr>
          <w:rFonts w:ascii="Times New Roman" w:eastAsia="Times New Roman" w:hAnsi="Times New Roman" w:cs="Times New Roman"/>
          <w:i/>
          <w:iCs/>
          <w:color w:val="000000" w:themeColor="text1"/>
          <w:sz w:val="24"/>
          <w:szCs w:val="24"/>
        </w:rPr>
      </w:pPr>
      <w:r w:rsidRPr="005D236B">
        <w:rPr>
          <w:rFonts w:ascii="Times New Roman" w:eastAsia="Times New Roman" w:hAnsi="Times New Roman" w:cs="Times New Roman"/>
          <w:i/>
          <w:iCs/>
          <w:color w:val="000000" w:themeColor="text1"/>
          <w:sz w:val="24"/>
          <w:szCs w:val="24"/>
        </w:rPr>
        <w:t>Master Student</w:t>
      </w:r>
    </w:p>
    <w:p w14:paraId="00000004" w14:textId="77777777" w:rsidR="00C41627" w:rsidRPr="005D236B" w:rsidRDefault="00000000" w:rsidP="005D236B">
      <w:pPr>
        <w:spacing w:line="240" w:lineRule="auto"/>
        <w:ind w:firstLine="397"/>
        <w:jc w:val="center"/>
        <w:rPr>
          <w:rFonts w:ascii="Times New Roman" w:eastAsia="Times New Roman" w:hAnsi="Times New Roman" w:cs="Times New Roman"/>
          <w:i/>
          <w:iCs/>
          <w:color w:val="000000" w:themeColor="text1"/>
          <w:sz w:val="24"/>
          <w:szCs w:val="24"/>
        </w:rPr>
      </w:pPr>
      <w:r w:rsidRPr="005D236B">
        <w:rPr>
          <w:rFonts w:ascii="Times New Roman" w:eastAsia="Times New Roman" w:hAnsi="Times New Roman" w:cs="Times New Roman"/>
          <w:i/>
          <w:iCs/>
          <w:color w:val="000000" w:themeColor="text1"/>
          <w:sz w:val="24"/>
          <w:szCs w:val="24"/>
        </w:rPr>
        <w:t>Shenzhen MSU-BIT University</w:t>
      </w:r>
    </w:p>
    <w:p w14:paraId="00000005" w14:textId="77777777" w:rsidR="00C41627" w:rsidRPr="005D236B" w:rsidRDefault="00000000" w:rsidP="005D236B">
      <w:pPr>
        <w:spacing w:line="240" w:lineRule="auto"/>
        <w:ind w:firstLine="397"/>
        <w:jc w:val="center"/>
        <w:rPr>
          <w:rFonts w:ascii="Times New Roman" w:eastAsia="Times New Roman" w:hAnsi="Times New Roman" w:cs="Times New Roman"/>
          <w:i/>
          <w:iCs/>
          <w:color w:val="000000" w:themeColor="text1"/>
          <w:sz w:val="24"/>
          <w:szCs w:val="24"/>
        </w:rPr>
      </w:pPr>
      <w:r w:rsidRPr="005D236B">
        <w:rPr>
          <w:rFonts w:ascii="Times New Roman" w:eastAsia="Times New Roman" w:hAnsi="Times New Roman" w:cs="Times New Roman"/>
          <w:i/>
          <w:iCs/>
          <w:color w:val="000000" w:themeColor="text1"/>
          <w:sz w:val="24"/>
          <w:szCs w:val="24"/>
        </w:rPr>
        <w:t>Faculty of Biology, Shenzhen, China</w:t>
      </w:r>
    </w:p>
    <w:p w14:paraId="00000006" w14:textId="00C05BC1" w:rsidR="00C41627" w:rsidRPr="005D236B" w:rsidRDefault="00000000" w:rsidP="005D236B">
      <w:pPr>
        <w:spacing w:line="240" w:lineRule="auto"/>
        <w:ind w:firstLine="397"/>
        <w:jc w:val="center"/>
        <w:rPr>
          <w:rFonts w:ascii="Times New Roman" w:eastAsia="Times New Roman" w:hAnsi="Times New Roman" w:cs="Times New Roman"/>
          <w:color w:val="000000" w:themeColor="text1"/>
          <w:sz w:val="24"/>
          <w:szCs w:val="24"/>
        </w:rPr>
      </w:pPr>
      <w:r w:rsidRPr="005D236B">
        <w:rPr>
          <w:rFonts w:ascii="Times New Roman" w:eastAsia="Times New Roman" w:hAnsi="Times New Roman" w:cs="Times New Roman"/>
          <w:i/>
          <w:iCs/>
          <w:color w:val="000000" w:themeColor="text1"/>
          <w:sz w:val="24"/>
          <w:szCs w:val="24"/>
        </w:rPr>
        <w:t>E–mail: lexey.kuznetsov@yandex.ru</w:t>
      </w:r>
    </w:p>
    <w:p w14:paraId="00000007" w14:textId="77777777" w:rsidR="00C41627" w:rsidRPr="005D236B" w:rsidRDefault="00000000" w:rsidP="005D236B">
      <w:pPr>
        <w:spacing w:line="240" w:lineRule="auto"/>
        <w:ind w:firstLine="397"/>
        <w:jc w:val="both"/>
        <w:rPr>
          <w:rFonts w:ascii="Times New Roman" w:eastAsia="Times New Roman" w:hAnsi="Times New Roman" w:cs="Times New Roman"/>
          <w:color w:val="000000" w:themeColor="text1"/>
          <w:sz w:val="24"/>
          <w:szCs w:val="24"/>
        </w:rPr>
      </w:pPr>
      <w:r w:rsidRPr="005D236B">
        <w:rPr>
          <w:rFonts w:ascii="Times New Roman" w:eastAsia="Times New Roman" w:hAnsi="Times New Roman" w:cs="Times New Roman"/>
          <w:color w:val="000000" w:themeColor="text1"/>
          <w:sz w:val="24"/>
          <w:szCs w:val="24"/>
        </w:rPr>
        <w:t xml:space="preserve">G protein-coupled receptors (GPCRs) remain one of the most important target classes in drug discovery, but reliable prediction of ligand activity is still difficult because of subtype diversity, ligand promiscuity, and uneven bioactivity data [1–4]. From a scientific perspective, reproducible subtype-aware prediction is important for fair benchmarking, better generalization across receptor families, and support of virtual screening, repurposing, and </w:t>
      </w:r>
      <w:proofErr w:type="spellStart"/>
      <w:r w:rsidRPr="005D236B">
        <w:rPr>
          <w:rFonts w:ascii="Times New Roman" w:eastAsia="Times New Roman" w:hAnsi="Times New Roman" w:cs="Times New Roman"/>
          <w:color w:val="000000" w:themeColor="text1"/>
          <w:sz w:val="24"/>
          <w:szCs w:val="24"/>
        </w:rPr>
        <w:t>deorphanization</w:t>
      </w:r>
      <w:proofErr w:type="spellEnd"/>
      <w:r w:rsidRPr="005D236B">
        <w:rPr>
          <w:rFonts w:ascii="Times New Roman" w:eastAsia="Times New Roman" w:hAnsi="Times New Roman" w:cs="Times New Roman"/>
          <w:color w:val="000000" w:themeColor="text1"/>
          <w:sz w:val="24"/>
          <w:szCs w:val="24"/>
        </w:rPr>
        <w:t xml:space="preserve"> [3, 4].</w:t>
      </w:r>
    </w:p>
    <w:p w14:paraId="00000008" w14:textId="77777777" w:rsidR="00C41627" w:rsidRPr="005D236B" w:rsidRDefault="00000000" w:rsidP="005D236B">
      <w:pPr>
        <w:spacing w:line="240" w:lineRule="auto"/>
        <w:ind w:firstLine="397"/>
        <w:jc w:val="both"/>
        <w:rPr>
          <w:rFonts w:ascii="Times New Roman" w:eastAsia="Times New Roman" w:hAnsi="Times New Roman" w:cs="Times New Roman"/>
          <w:color w:val="000000" w:themeColor="text1"/>
          <w:sz w:val="24"/>
          <w:szCs w:val="24"/>
        </w:rPr>
      </w:pPr>
      <w:r w:rsidRPr="005D236B">
        <w:rPr>
          <w:rFonts w:ascii="Times New Roman" w:eastAsia="Times New Roman" w:hAnsi="Times New Roman" w:cs="Times New Roman"/>
          <w:color w:val="000000" w:themeColor="text1"/>
          <w:sz w:val="24"/>
          <w:szCs w:val="24"/>
        </w:rPr>
        <w:t xml:space="preserve">This study combines large-scale data mining from </w:t>
      </w:r>
      <w:proofErr w:type="spellStart"/>
      <w:r w:rsidRPr="005D236B">
        <w:rPr>
          <w:rFonts w:ascii="Times New Roman" w:eastAsia="Times New Roman" w:hAnsi="Times New Roman" w:cs="Times New Roman"/>
          <w:color w:val="000000" w:themeColor="text1"/>
          <w:sz w:val="24"/>
          <w:szCs w:val="24"/>
        </w:rPr>
        <w:t>ChEMBL</w:t>
      </w:r>
      <w:proofErr w:type="spellEnd"/>
      <w:r w:rsidRPr="005D236B">
        <w:rPr>
          <w:rFonts w:ascii="Times New Roman" w:eastAsia="Times New Roman" w:hAnsi="Times New Roman" w:cs="Times New Roman"/>
          <w:color w:val="000000" w:themeColor="text1"/>
          <w:sz w:val="24"/>
          <w:szCs w:val="24"/>
        </w:rPr>
        <w:t xml:space="preserve"> (ebi.ac.uk/</w:t>
      </w:r>
      <w:proofErr w:type="spellStart"/>
      <w:r w:rsidRPr="005D236B">
        <w:rPr>
          <w:rFonts w:ascii="Times New Roman" w:eastAsia="Times New Roman" w:hAnsi="Times New Roman" w:cs="Times New Roman"/>
          <w:color w:val="000000" w:themeColor="text1"/>
          <w:sz w:val="24"/>
          <w:szCs w:val="24"/>
        </w:rPr>
        <w:t>chembl</w:t>
      </w:r>
      <w:proofErr w:type="spellEnd"/>
      <w:r w:rsidRPr="005D236B">
        <w:rPr>
          <w:rFonts w:ascii="Times New Roman" w:eastAsia="Times New Roman" w:hAnsi="Times New Roman" w:cs="Times New Roman"/>
          <w:color w:val="000000" w:themeColor="text1"/>
          <w:sz w:val="24"/>
          <w:szCs w:val="24"/>
        </w:rPr>
        <w:t xml:space="preserve">/), </w:t>
      </w:r>
      <w:proofErr w:type="spellStart"/>
      <w:r w:rsidRPr="005D236B">
        <w:rPr>
          <w:rFonts w:ascii="Times New Roman" w:eastAsia="Times New Roman" w:hAnsi="Times New Roman" w:cs="Times New Roman"/>
          <w:color w:val="000000" w:themeColor="text1"/>
          <w:sz w:val="24"/>
          <w:szCs w:val="24"/>
        </w:rPr>
        <w:t>BindingDB</w:t>
      </w:r>
      <w:proofErr w:type="spellEnd"/>
      <w:r w:rsidRPr="005D236B">
        <w:rPr>
          <w:rFonts w:ascii="Times New Roman" w:eastAsia="Times New Roman" w:hAnsi="Times New Roman" w:cs="Times New Roman"/>
          <w:color w:val="000000" w:themeColor="text1"/>
          <w:sz w:val="24"/>
          <w:szCs w:val="24"/>
        </w:rPr>
        <w:t xml:space="preserve"> (www.bindingdb.org/), </w:t>
      </w:r>
      <w:proofErr w:type="spellStart"/>
      <w:r w:rsidRPr="005D236B">
        <w:rPr>
          <w:rFonts w:ascii="Times New Roman" w:eastAsia="Times New Roman" w:hAnsi="Times New Roman" w:cs="Times New Roman"/>
          <w:color w:val="000000" w:themeColor="text1"/>
          <w:sz w:val="24"/>
          <w:szCs w:val="24"/>
        </w:rPr>
        <w:t>GPCRdb</w:t>
      </w:r>
      <w:proofErr w:type="spellEnd"/>
      <w:r w:rsidRPr="005D236B">
        <w:rPr>
          <w:rFonts w:ascii="Times New Roman" w:eastAsia="Times New Roman" w:hAnsi="Times New Roman" w:cs="Times New Roman"/>
          <w:color w:val="000000" w:themeColor="text1"/>
          <w:sz w:val="24"/>
          <w:szCs w:val="24"/>
        </w:rPr>
        <w:t xml:space="preserve"> (gpcrdb.org), and </w:t>
      </w:r>
      <w:proofErr w:type="spellStart"/>
      <w:r w:rsidRPr="005D236B">
        <w:rPr>
          <w:rFonts w:ascii="Times New Roman" w:eastAsia="Times New Roman" w:hAnsi="Times New Roman" w:cs="Times New Roman"/>
          <w:color w:val="000000" w:themeColor="text1"/>
          <w:sz w:val="24"/>
          <w:szCs w:val="24"/>
        </w:rPr>
        <w:t>UniProt</w:t>
      </w:r>
      <w:proofErr w:type="spellEnd"/>
      <w:r w:rsidRPr="005D236B">
        <w:rPr>
          <w:rFonts w:ascii="Times New Roman" w:eastAsia="Times New Roman" w:hAnsi="Times New Roman" w:cs="Times New Roman"/>
          <w:color w:val="000000" w:themeColor="text1"/>
          <w:sz w:val="24"/>
          <w:szCs w:val="24"/>
        </w:rPr>
        <w:t xml:space="preserve"> (uniprot.org) with the construction of a shared database, multi-threaded data curation, and benchmarked training of SMILES-based transformer and graph-transformer models in </w:t>
      </w:r>
      <w:proofErr w:type="spellStart"/>
      <w:r w:rsidRPr="005D236B">
        <w:rPr>
          <w:rFonts w:ascii="Times New Roman" w:eastAsia="Times New Roman" w:hAnsi="Times New Roman" w:cs="Times New Roman"/>
          <w:color w:val="000000" w:themeColor="text1"/>
          <w:sz w:val="24"/>
          <w:szCs w:val="24"/>
        </w:rPr>
        <w:t>PyTorch</w:t>
      </w:r>
      <w:proofErr w:type="spellEnd"/>
      <w:r w:rsidRPr="005D236B">
        <w:rPr>
          <w:rFonts w:ascii="Times New Roman" w:eastAsia="Times New Roman" w:hAnsi="Times New Roman" w:cs="Times New Roman"/>
          <w:color w:val="000000" w:themeColor="text1"/>
          <w:sz w:val="24"/>
          <w:szCs w:val="24"/>
        </w:rPr>
        <w:t>, including automated hyperparameter tuning, logging, and fine-tuning.</w:t>
      </w:r>
    </w:p>
    <w:p w14:paraId="00000009" w14:textId="77777777" w:rsidR="00C41627" w:rsidRPr="005D236B" w:rsidRDefault="00000000" w:rsidP="005D236B">
      <w:pPr>
        <w:spacing w:line="240" w:lineRule="auto"/>
        <w:ind w:firstLine="397"/>
        <w:jc w:val="both"/>
        <w:rPr>
          <w:rFonts w:ascii="Times New Roman" w:eastAsia="Times New Roman" w:hAnsi="Times New Roman" w:cs="Times New Roman"/>
          <w:color w:val="000000" w:themeColor="text1"/>
          <w:sz w:val="24"/>
          <w:szCs w:val="24"/>
        </w:rPr>
      </w:pPr>
      <w:r w:rsidRPr="005D236B">
        <w:rPr>
          <w:rFonts w:ascii="Times New Roman" w:eastAsia="Times New Roman" w:hAnsi="Times New Roman" w:cs="Times New Roman"/>
          <w:color w:val="000000" w:themeColor="text1"/>
          <w:sz w:val="24"/>
          <w:szCs w:val="24"/>
        </w:rPr>
        <w:t>The current results demonstrate both the scale of the assembled dataset and the practical feasibility of the predictive approach. A high-confidence GPCR corpus containing over one million ligand-target records has been created, providing a solid basis for model development and evaluation, and initial subtype-aware achieved up to 90% accuracy in active/inactive prediction on benchmark subsets.</w:t>
      </w:r>
    </w:p>
    <w:p w14:paraId="0000000A" w14:textId="77777777" w:rsidR="00C41627" w:rsidRPr="005D236B" w:rsidRDefault="00000000" w:rsidP="005D236B">
      <w:pPr>
        <w:spacing w:line="240" w:lineRule="auto"/>
        <w:ind w:firstLine="397"/>
        <w:jc w:val="both"/>
        <w:rPr>
          <w:rFonts w:ascii="Times New Roman" w:eastAsia="Times New Roman" w:hAnsi="Times New Roman" w:cs="Times New Roman"/>
          <w:color w:val="000000" w:themeColor="text1"/>
          <w:sz w:val="24"/>
          <w:szCs w:val="24"/>
        </w:rPr>
      </w:pPr>
      <w:r w:rsidRPr="005D236B">
        <w:rPr>
          <w:rFonts w:ascii="Times New Roman" w:eastAsia="Times New Roman" w:hAnsi="Times New Roman" w:cs="Times New Roman"/>
          <w:color w:val="000000" w:themeColor="text1"/>
          <w:sz w:val="24"/>
          <w:szCs w:val="24"/>
        </w:rPr>
        <w:t>Overall, the study provides a reproducible GPCR ligand-activity prediction framework supported by a large integrated dataset and automated workflows for data updating, validation, benchmarking, and model optimization. This foundation supports accurate and scalable prediction of GPCR ligand activity and can be used for virtual screening and other downstream discovery workflows.</w:t>
      </w:r>
    </w:p>
    <w:p w14:paraId="0000000B" w14:textId="77777777" w:rsidR="00C41627" w:rsidRPr="005D236B" w:rsidRDefault="00C41627" w:rsidP="005D236B">
      <w:pPr>
        <w:spacing w:line="240" w:lineRule="auto"/>
        <w:ind w:firstLine="397"/>
        <w:jc w:val="both"/>
        <w:rPr>
          <w:rFonts w:ascii="Times New Roman" w:eastAsia="Times New Roman" w:hAnsi="Times New Roman" w:cs="Times New Roman"/>
          <w:color w:val="000000" w:themeColor="text1"/>
          <w:sz w:val="24"/>
          <w:szCs w:val="24"/>
        </w:rPr>
      </w:pPr>
    </w:p>
    <w:p w14:paraId="0000000C" w14:textId="77777777" w:rsidR="00C41627" w:rsidRPr="005D236B" w:rsidRDefault="00000000" w:rsidP="005D236B">
      <w:pPr>
        <w:spacing w:line="240" w:lineRule="auto"/>
        <w:ind w:firstLine="397"/>
        <w:jc w:val="both"/>
        <w:rPr>
          <w:rFonts w:ascii="Times New Roman" w:eastAsia="Times New Roman" w:hAnsi="Times New Roman" w:cs="Times New Roman"/>
          <w:b/>
          <w:bCs/>
          <w:color w:val="000000" w:themeColor="text1"/>
          <w:sz w:val="24"/>
          <w:szCs w:val="24"/>
        </w:rPr>
      </w:pPr>
      <w:r w:rsidRPr="005D236B">
        <w:rPr>
          <w:rFonts w:ascii="Times New Roman" w:eastAsia="Times New Roman" w:hAnsi="Times New Roman" w:cs="Times New Roman"/>
          <w:b/>
          <w:bCs/>
          <w:color w:val="000000" w:themeColor="text1"/>
          <w:sz w:val="24"/>
          <w:szCs w:val="24"/>
        </w:rPr>
        <w:t>References</w:t>
      </w:r>
    </w:p>
    <w:p w14:paraId="0000000D" w14:textId="77777777" w:rsidR="00C41627" w:rsidRPr="005D236B" w:rsidRDefault="00000000" w:rsidP="005D236B">
      <w:pPr>
        <w:spacing w:line="240" w:lineRule="auto"/>
        <w:ind w:left="720" w:firstLine="397"/>
        <w:jc w:val="both"/>
        <w:rPr>
          <w:rFonts w:ascii="Times New Roman" w:eastAsia="Times New Roman" w:hAnsi="Times New Roman" w:cs="Times New Roman"/>
          <w:color w:val="000000" w:themeColor="text1"/>
          <w:sz w:val="24"/>
          <w:szCs w:val="24"/>
        </w:rPr>
      </w:pPr>
      <w:r w:rsidRPr="005D236B">
        <w:rPr>
          <w:rFonts w:ascii="Times New Roman" w:eastAsia="Times New Roman" w:hAnsi="Times New Roman" w:cs="Times New Roman"/>
          <w:color w:val="000000" w:themeColor="text1"/>
          <w:sz w:val="24"/>
          <w:szCs w:val="24"/>
        </w:rPr>
        <w:t xml:space="preserve">1. J. P. </w:t>
      </w:r>
      <w:proofErr w:type="spellStart"/>
      <w:r w:rsidRPr="005D236B">
        <w:rPr>
          <w:rFonts w:ascii="Times New Roman" w:eastAsia="Times New Roman" w:hAnsi="Times New Roman" w:cs="Times New Roman"/>
          <w:color w:val="000000" w:themeColor="text1"/>
          <w:sz w:val="24"/>
          <w:szCs w:val="24"/>
        </w:rPr>
        <w:t>Overington</w:t>
      </w:r>
      <w:proofErr w:type="spellEnd"/>
      <w:r w:rsidRPr="005D236B">
        <w:rPr>
          <w:rFonts w:ascii="Times New Roman" w:eastAsia="Times New Roman" w:hAnsi="Times New Roman" w:cs="Times New Roman"/>
          <w:color w:val="000000" w:themeColor="text1"/>
          <w:sz w:val="24"/>
          <w:szCs w:val="24"/>
        </w:rPr>
        <w:t>, B. Al-</w:t>
      </w:r>
      <w:proofErr w:type="spellStart"/>
      <w:r w:rsidRPr="005D236B">
        <w:rPr>
          <w:rFonts w:ascii="Times New Roman" w:eastAsia="Times New Roman" w:hAnsi="Times New Roman" w:cs="Times New Roman"/>
          <w:color w:val="000000" w:themeColor="text1"/>
          <w:sz w:val="24"/>
          <w:szCs w:val="24"/>
        </w:rPr>
        <w:t>Lazikani</w:t>
      </w:r>
      <w:proofErr w:type="spellEnd"/>
      <w:r w:rsidRPr="005D236B">
        <w:rPr>
          <w:rFonts w:ascii="Times New Roman" w:eastAsia="Times New Roman" w:hAnsi="Times New Roman" w:cs="Times New Roman"/>
          <w:color w:val="000000" w:themeColor="text1"/>
          <w:sz w:val="24"/>
          <w:szCs w:val="24"/>
        </w:rPr>
        <w:t xml:space="preserve">, and A. L. Hopkins, “How many drug targets are there?”, Nature Reviews Drug Discovery, vol. 5, no. 12, pp. 993–996, Dec. 2006. </w:t>
      </w:r>
      <w:proofErr w:type="spellStart"/>
      <w:r w:rsidRPr="005D236B">
        <w:rPr>
          <w:rFonts w:ascii="Times New Roman" w:eastAsia="Times New Roman" w:hAnsi="Times New Roman" w:cs="Times New Roman"/>
          <w:color w:val="000000" w:themeColor="text1"/>
          <w:sz w:val="24"/>
          <w:szCs w:val="24"/>
        </w:rPr>
        <w:t>doi</w:t>
      </w:r>
      <w:proofErr w:type="spellEnd"/>
      <w:r w:rsidRPr="005D236B">
        <w:rPr>
          <w:rFonts w:ascii="Times New Roman" w:eastAsia="Times New Roman" w:hAnsi="Times New Roman" w:cs="Times New Roman"/>
          <w:color w:val="000000" w:themeColor="text1"/>
          <w:sz w:val="24"/>
          <w:szCs w:val="24"/>
        </w:rPr>
        <w:t>: 10.1038/nrd2199.</w:t>
      </w:r>
    </w:p>
    <w:p w14:paraId="0000000E" w14:textId="77777777" w:rsidR="00C41627" w:rsidRPr="005D236B" w:rsidRDefault="00000000" w:rsidP="005D236B">
      <w:pPr>
        <w:spacing w:line="240" w:lineRule="auto"/>
        <w:ind w:left="720" w:firstLine="397"/>
        <w:jc w:val="both"/>
        <w:rPr>
          <w:rFonts w:ascii="Times New Roman" w:eastAsia="Times New Roman" w:hAnsi="Times New Roman" w:cs="Times New Roman"/>
          <w:color w:val="000000" w:themeColor="text1"/>
          <w:sz w:val="24"/>
          <w:szCs w:val="24"/>
        </w:rPr>
      </w:pPr>
      <w:r w:rsidRPr="005D236B">
        <w:rPr>
          <w:rFonts w:ascii="Times New Roman" w:eastAsia="Times New Roman" w:hAnsi="Times New Roman" w:cs="Times New Roman"/>
          <w:color w:val="000000" w:themeColor="text1"/>
          <w:sz w:val="24"/>
          <w:szCs w:val="24"/>
        </w:rPr>
        <w:t xml:space="preserve">2. A. S. Hauser, M. M. Attwood, M. Rask-Andersen, H. B. </w:t>
      </w:r>
      <w:proofErr w:type="spellStart"/>
      <w:r w:rsidRPr="005D236B">
        <w:rPr>
          <w:rFonts w:ascii="Times New Roman" w:eastAsia="Times New Roman" w:hAnsi="Times New Roman" w:cs="Times New Roman"/>
          <w:color w:val="000000" w:themeColor="text1"/>
          <w:sz w:val="24"/>
          <w:szCs w:val="24"/>
        </w:rPr>
        <w:t>Schiöth</w:t>
      </w:r>
      <w:proofErr w:type="spellEnd"/>
      <w:r w:rsidRPr="005D236B">
        <w:rPr>
          <w:rFonts w:ascii="Times New Roman" w:eastAsia="Times New Roman" w:hAnsi="Times New Roman" w:cs="Times New Roman"/>
          <w:color w:val="000000" w:themeColor="text1"/>
          <w:sz w:val="24"/>
          <w:szCs w:val="24"/>
        </w:rPr>
        <w:t xml:space="preserve">, and D. E. </w:t>
      </w:r>
      <w:proofErr w:type="spellStart"/>
      <w:r w:rsidRPr="005D236B">
        <w:rPr>
          <w:rFonts w:ascii="Times New Roman" w:eastAsia="Times New Roman" w:hAnsi="Times New Roman" w:cs="Times New Roman"/>
          <w:color w:val="000000" w:themeColor="text1"/>
          <w:sz w:val="24"/>
          <w:szCs w:val="24"/>
        </w:rPr>
        <w:t>Gloriam</w:t>
      </w:r>
      <w:proofErr w:type="spellEnd"/>
      <w:r w:rsidRPr="005D236B">
        <w:rPr>
          <w:rFonts w:ascii="Times New Roman" w:eastAsia="Times New Roman" w:hAnsi="Times New Roman" w:cs="Times New Roman"/>
          <w:color w:val="000000" w:themeColor="text1"/>
          <w:sz w:val="24"/>
          <w:szCs w:val="24"/>
        </w:rPr>
        <w:t xml:space="preserve">, “Trends in </w:t>
      </w:r>
      <w:proofErr w:type="spellStart"/>
      <w:r w:rsidRPr="005D236B">
        <w:rPr>
          <w:rFonts w:ascii="Times New Roman" w:eastAsia="Times New Roman" w:hAnsi="Times New Roman" w:cs="Times New Roman"/>
          <w:color w:val="000000" w:themeColor="text1"/>
          <w:sz w:val="24"/>
          <w:szCs w:val="24"/>
        </w:rPr>
        <w:t>gpcr</w:t>
      </w:r>
      <w:proofErr w:type="spellEnd"/>
      <w:r w:rsidRPr="005D236B">
        <w:rPr>
          <w:rFonts w:ascii="Times New Roman" w:eastAsia="Times New Roman" w:hAnsi="Times New Roman" w:cs="Times New Roman"/>
          <w:color w:val="000000" w:themeColor="text1"/>
          <w:sz w:val="24"/>
          <w:szCs w:val="24"/>
        </w:rPr>
        <w:t xml:space="preserve"> drug discovery: New agents, targets and indications,” Nature Reviews Drug Discovery, vol. 16, no. 12, pp. 829–842, Dec. 2017. </w:t>
      </w:r>
      <w:proofErr w:type="spellStart"/>
      <w:r w:rsidRPr="005D236B">
        <w:rPr>
          <w:rFonts w:ascii="Times New Roman" w:eastAsia="Times New Roman" w:hAnsi="Times New Roman" w:cs="Times New Roman"/>
          <w:color w:val="000000" w:themeColor="text1"/>
          <w:sz w:val="24"/>
          <w:szCs w:val="24"/>
        </w:rPr>
        <w:t>doi</w:t>
      </w:r>
      <w:proofErr w:type="spellEnd"/>
      <w:r w:rsidRPr="005D236B">
        <w:rPr>
          <w:rFonts w:ascii="Times New Roman" w:eastAsia="Times New Roman" w:hAnsi="Times New Roman" w:cs="Times New Roman"/>
          <w:color w:val="000000" w:themeColor="text1"/>
          <w:sz w:val="24"/>
          <w:szCs w:val="24"/>
        </w:rPr>
        <w:t>: 10.1038/nrd.2017.178.</w:t>
      </w:r>
    </w:p>
    <w:p w14:paraId="0000000F" w14:textId="77777777" w:rsidR="00C41627" w:rsidRPr="005D236B" w:rsidRDefault="00000000" w:rsidP="005D236B">
      <w:pPr>
        <w:spacing w:line="240" w:lineRule="auto"/>
        <w:ind w:left="720" w:firstLine="397"/>
        <w:jc w:val="both"/>
        <w:rPr>
          <w:rFonts w:ascii="Times New Roman" w:eastAsia="Times New Roman" w:hAnsi="Times New Roman" w:cs="Times New Roman"/>
          <w:color w:val="000000" w:themeColor="text1"/>
          <w:sz w:val="24"/>
          <w:szCs w:val="24"/>
        </w:rPr>
      </w:pPr>
      <w:r w:rsidRPr="005D236B">
        <w:rPr>
          <w:rFonts w:ascii="Times New Roman" w:eastAsia="Times New Roman" w:hAnsi="Times New Roman" w:cs="Times New Roman"/>
          <w:color w:val="000000" w:themeColor="text1"/>
          <w:sz w:val="24"/>
          <w:szCs w:val="24"/>
        </w:rPr>
        <w:t xml:space="preserve">3. S. </w:t>
      </w:r>
      <w:proofErr w:type="spellStart"/>
      <w:r w:rsidRPr="005D236B">
        <w:rPr>
          <w:rFonts w:ascii="Times New Roman" w:eastAsia="Times New Roman" w:hAnsi="Times New Roman" w:cs="Times New Roman"/>
          <w:color w:val="000000" w:themeColor="text1"/>
          <w:sz w:val="24"/>
          <w:szCs w:val="24"/>
        </w:rPr>
        <w:t>Raschka</w:t>
      </w:r>
      <w:proofErr w:type="spellEnd"/>
      <w:r w:rsidRPr="005D236B">
        <w:rPr>
          <w:rFonts w:ascii="Times New Roman" w:eastAsia="Times New Roman" w:hAnsi="Times New Roman" w:cs="Times New Roman"/>
          <w:color w:val="000000" w:themeColor="text1"/>
          <w:sz w:val="24"/>
          <w:szCs w:val="24"/>
        </w:rPr>
        <w:t xml:space="preserve"> and B. Kaufman, “Machine learning and ai-based approaches for bioactive ligand discovery and </w:t>
      </w:r>
      <w:proofErr w:type="spellStart"/>
      <w:r w:rsidRPr="005D236B">
        <w:rPr>
          <w:rFonts w:ascii="Times New Roman" w:eastAsia="Times New Roman" w:hAnsi="Times New Roman" w:cs="Times New Roman"/>
          <w:color w:val="000000" w:themeColor="text1"/>
          <w:sz w:val="24"/>
          <w:szCs w:val="24"/>
        </w:rPr>
        <w:t>gpcr</w:t>
      </w:r>
      <w:proofErr w:type="spellEnd"/>
      <w:r w:rsidRPr="005D236B">
        <w:rPr>
          <w:rFonts w:ascii="Times New Roman" w:eastAsia="Times New Roman" w:hAnsi="Times New Roman" w:cs="Times New Roman"/>
          <w:color w:val="000000" w:themeColor="text1"/>
          <w:sz w:val="24"/>
          <w:szCs w:val="24"/>
        </w:rPr>
        <w:t xml:space="preserve">-ligand recognition,” Methods, vol. 180, pp. 89–110, Aug. 2020. </w:t>
      </w:r>
      <w:proofErr w:type="spellStart"/>
      <w:r w:rsidRPr="005D236B">
        <w:rPr>
          <w:rFonts w:ascii="Times New Roman" w:eastAsia="Times New Roman" w:hAnsi="Times New Roman" w:cs="Times New Roman"/>
          <w:color w:val="000000" w:themeColor="text1"/>
          <w:sz w:val="24"/>
          <w:szCs w:val="24"/>
        </w:rPr>
        <w:t>doi</w:t>
      </w:r>
      <w:proofErr w:type="spellEnd"/>
      <w:r w:rsidRPr="005D236B">
        <w:rPr>
          <w:rFonts w:ascii="Times New Roman" w:eastAsia="Times New Roman" w:hAnsi="Times New Roman" w:cs="Times New Roman"/>
          <w:color w:val="000000" w:themeColor="text1"/>
          <w:sz w:val="24"/>
          <w:szCs w:val="24"/>
        </w:rPr>
        <w:t>: 10.1016/j.ymeth.2020.06.016.</w:t>
      </w:r>
    </w:p>
    <w:p w14:paraId="00000010" w14:textId="77777777" w:rsidR="00C41627" w:rsidRPr="005D236B" w:rsidRDefault="00000000" w:rsidP="005D236B">
      <w:pPr>
        <w:spacing w:line="240" w:lineRule="auto"/>
        <w:ind w:left="720" w:firstLine="397"/>
        <w:jc w:val="both"/>
        <w:rPr>
          <w:rFonts w:ascii="Times New Roman" w:eastAsia="Times New Roman" w:hAnsi="Times New Roman" w:cs="Times New Roman"/>
          <w:color w:val="000000" w:themeColor="text1"/>
          <w:sz w:val="24"/>
          <w:szCs w:val="24"/>
        </w:rPr>
      </w:pPr>
      <w:r w:rsidRPr="005D236B">
        <w:rPr>
          <w:rFonts w:ascii="Times New Roman" w:eastAsia="Times New Roman" w:hAnsi="Times New Roman" w:cs="Times New Roman"/>
          <w:color w:val="000000" w:themeColor="text1"/>
          <w:sz w:val="24"/>
          <w:szCs w:val="24"/>
        </w:rPr>
        <w:t xml:space="preserve">4. A. </w:t>
      </w:r>
      <w:proofErr w:type="spellStart"/>
      <w:r w:rsidRPr="005D236B">
        <w:rPr>
          <w:rFonts w:ascii="Times New Roman" w:eastAsia="Times New Roman" w:hAnsi="Times New Roman" w:cs="Times New Roman"/>
          <w:color w:val="000000" w:themeColor="text1"/>
          <w:sz w:val="24"/>
          <w:szCs w:val="24"/>
        </w:rPr>
        <w:t>Lavecchia</w:t>
      </w:r>
      <w:proofErr w:type="spellEnd"/>
      <w:r w:rsidRPr="005D236B">
        <w:rPr>
          <w:rFonts w:ascii="Times New Roman" w:eastAsia="Times New Roman" w:hAnsi="Times New Roman" w:cs="Times New Roman"/>
          <w:color w:val="000000" w:themeColor="text1"/>
          <w:sz w:val="24"/>
          <w:szCs w:val="24"/>
        </w:rPr>
        <w:t xml:space="preserve">, “Advancing drug discovery with deep attention neural networks,” Drug Discovery Today, vol. 29, no. 8, p. 104 067, Aug. 2024. </w:t>
      </w:r>
      <w:proofErr w:type="spellStart"/>
      <w:r w:rsidRPr="005D236B">
        <w:rPr>
          <w:rFonts w:ascii="Times New Roman" w:eastAsia="Times New Roman" w:hAnsi="Times New Roman" w:cs="Times New Roman"/>
          <w:color w:val="000000" w:themeColor="text1"/>
          <w:sz w:val="24"/>
          <w:szCs w:val="24"/>
        </w:rPr>
        <w:t>doi</w:t>
      </w:r>
      <w:proofErr w:type="spellEnd"/>
      <w:r w:rsidRPr="005D236B">
        <w:rPr>
          <w:rFonts w:ascii="Times New Roman" w:eastAsia="Times New Roman" w:hAnsi="Times New Roman" w:cs="Times New Roman"/>
          <w:color w:val="000000" w:themeColor="text1"/>
          <w:sz w:val="24"/>
          <w:szCs w:val="24"/>
        </w:rPr>
        <w:t>: 10.1016/j.drudis.2024.104067.</w:t>
      </w:r>
    </w:p>
    <w:p w14:paraId="00000011" w14:textId="77777777" w:rsidR="00C41627" w:rsidRPr="005D236B" w:rsidRDefault="00000000" w:rsidP="005D236B">
      <w:pPr>
        <w:spacing w:line="240" w:lineRule="auto"/>
        <w:ind w:left="720" w:firstLine="397"/>
        <w:jc w:val="both"/>
        <w:rPr>
          <w:rFonts w:ascii="Times New Roman" w:eastAsia="Times New Roman" w:hAnsi="Times New Roman" w:cs="Times New Roman"/>
          <w:color w:val="000000" w:themeColor="text1"/>
          <w:sz w:val="24"/>
          <w:szCs w:val="24"/>
        </w:rPr>
      </w:pPr>
      <w:r w:rsidRPr="005D236B">
        <w:rPr>
          <w:rFonts w:ascii="Times New Roman" w:eastAsia="Times New Roman" w:hAnsi="Times New Roman" w:cs="Times New Roman"/>
          <w:color w:val="000000" w:themeColor="text1"/>
          <w:sz w:val="24"/>
          <w:szCs w:val="24"/>
        </w:rPr>
        <w:t xml:space="preserve">5. A. </w:t>
      </w:r>
      <w:proofErr w:type="spellStart"/>
      <w:r w:rsidRPr="005D236B">
        <w:rPr>
          <w:rFonts w:ascii="Times New Roman" w:eastAsia="Times New Roman" w:hAnsi="Times New Roman" w:cs="Times New Roman"/>
          <w:color w:val="000000" w:themeColor="text1"/>
          <w:sz w:val="24"/>
          <w:szCs w:val="24"/>
        </w:rPr>
        <w:t>Paszke</w:t>
      </w:r>
      <w:proofErr w:type="spellEnd"/>
      <w:r w:rsidRPr="005D236B">
        <w:rPr>
          <w:rFonts w:ascii="Times New Roman" w:eastAsia="Times New Roman" w:hAnsi="Times New Roman" w:cs="Times New Roman"/>
          <w:color w:val="000000" w:themeColor="text1"/>
          <w:sz w:val="24"/>
          <w:szCs w:val="24"/>
        </w:rPr>
        <w:t xml:space="preserve"> et al., “</w:t>
      </w:r>
      <w:proofErr w:type="spellStart"/>
      <w:r w:rsidRPr="005D236B">
        <w:rPr>
          <w:rFonts w:ascii="Times New Roman" w:eastAsia="Times New Roman" w:hAnsi="Times New Roman" w:cs="Times New Roman"/>
          <w:color w:val="000000" w:themeColor="text1"/>
          <w:sz w:val="24"/>
          <w:szCs w:val="24"/>
        </w:rPr>
        <w:t>PyTorch</w:t>
      </w:r>
      <w:proofErr w:type="spellEnd"/>
      <w:r w:rsidRPr="005D236B">
        <w:rPr>
          <w:rFonts w:ascii="Times New Roman" w:eastAsia="Times New Roman" w:hAnsi="Times New Roman" w:cs="Times New Roman"/>
          <w:color w:val="000000" w:themeColor="text1"/>
          <w:sz w:val="24"/>
          <w:szCs w:val="24"/>
        </w:rPr>
        <w:t xml:space="preserve">: An Imperative Style, High-Performance Deep Learning Library,” 2019, </w:t>
      </w:r>
      <w:proofErr w:type="spellStart"/>
      <w:r w:rsidRPr="005D236B">
        <w:rPr>
          <w:rFonts w:ascii="Times New Roman" w:eastAsia="Times New Roman" w:hAnsi="Times New Roman" w:cs="Times New Roman"/>
          <w:color w:val="000000" w:themeColor="text1"/>
          <w:sz w:val="24"/>
          <w:szCs w:val="24"/>
        </w:rPr>
        <w:t>arXiv</w:t>
      </w:r>
      <w:proofErr w:type="spellEnd"/>
      <w:r w:rsidRPr="005D236B">
        <w:rPr>
          <w:rFonts w:ascii="Times New Roman" w:eastAsia="Times New Roman" w:hAnsi="Times New Roman" w:cs="Times New Roman"/>
          <w:color w:val="000000" w:themeColor="text1"/>
          <w:sz w:val="24"/>
          <w:szCs w:val="24"/>
        </w:rPr>
        <w:t xml:space="preserve">. </w:t>
      </w:r>
      <w:proofErr w:type="spellStart"/>
      <w:r w:rsidRPr="005D236B">
        <w:rPr>
          <w:rFonts w:ascii="Times New Roman" w:eastAsia="Times New Roman" w:hAnsi="Times New Roman" w:cs="Times New Roman"/>
          <w:color w:val="000000" w:themeColor="text1"/>
          <w:sz w:val="24"/>
          <w:szCs w:val="24"/>
        </w:rPr>
        <w:t>doi</w:t>
      </w:r>
      <w:proofErr w:type="spellEnd"/>
      <w:r w:rsidRPr="005D236B">
        <w:rPr>
          <w:rFonts w:ascii="Times New Roman" w:eastAsia="Times New Roman" w:hAnsi="Times New Roman" w:cs="Times New Roman"/>
          <w:color w:val="000000" w:themeColor="text1"/>
          <w:sz w:val="24"/>
          <w:szCs w:val="24"/>
        </w:rPr>
        <w:t>: 10.48550/ARXIV.1912.01703.</w:t>
      </w:r>
    </w:p>
    <w:p w14:paraId="00000012" w14:textId="77777777" w:rsidR="00C41627" w:rsidRDefault="00C41627">
      <w:pPr>
        <w:spacing w:line="240" w:lineRule="auto"/>
        <w:jc w:val="both"/>
        <w:rPr>
          <w:rFonts w:ascii="Times New Roman" w:eastAsia="Times New Roman" w:hAnsi="Times New Roman" w:cs="Times New Roman"/>
          <w:sz w:val="24"/>
          <w:szCs w:val="24"/>
        </w:rPr>
      </w:pPr>
    </w:p>
    <w:p w14:paraId="00000013" w14:textId="77777777" w:rsidR="00C41627" w:rsidRDefault="00C41627">
      <w:pPr>
        <w:spacing w:line="240" w:lineRule="auto"/>
        <w:jc w:val="both"/>
        <w:rPr>
          <w:rFonts w:ascii="Times New Roman" w:eastAsia="Times New Roman" w:hAnsi="Times New Roman" w:cs="Times New Roman"/>
          <w:color w:val="353535"/>
          <w:sz w:val="23"/>
          <w:szCs w:val="23"/>
        </w:rPr>
      </w:pPr>
    </w:p>
    <w:p w14:paraId="00000014" w14:textId="77777777" w:rsidR="00C41627" w:rsidRDefault="00C41627">
      <w:pPr>
        <w:spacing w:line="240" w:lineRule="auto"/>
        <w:rPr>
          <w:rFonts w:ascii="Times New Roman" w:eastAsia="Times New Roman" w:hAnsi="Times New Roman" w:cs="Times New Roman"/>
          <w:sz w:val="24"/>
          <w:szCs w:val="24"/>
        </w:rPr>
      </w:pPr>
    </w:p>
    <w:sectPr w:rsidR="00C41627" w:rsidSect="005D236B">
      <w:headerReference w:type="even" r:id="rId6"/>
      <w:headerReference w:type="default" r:id="rId7"/>
      <w:footerReference w:type="even" r:id="rId8"/>
      <w:footerReference w:type="default" r:id="rId9"/>
      <w:headerReference w:type="first" r:id="rId10"/>
      <w:footerReference w:type="first" r:id="rId11"/>
      <w:pgSz w:w="11906" w:h="16838"/>
      <w:pgMar w:top="1134" w:right="1361" w:bottom="1134" w:left="136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DB1BF" w14:textId="77777777" w:rsidR="007F01CC" w:rsidRDefault="007F01CC" w:rsidP="005D236B">
      <w:pPr>
        <w:spacing w:line="240" w:lineRule="auto"/>
      </w:pPr>
      <w:r>
        <w:separator/>
      </w:r>
    </w:p>
  </w:endnote>
  <w:endnote w:type="continuationSeparator" w:id="0">
    <w:p w14:paraId="51C2D773" w14:textId="77777777" w:rsidR="007F01CC" w:rsidRDefault="007F01CC" w:rsidP="005D23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8CABF1A0-DB95-9A47-A9B5-AFC4BBE5FE32}"/>
    <w:embedItalic r:id="rId2" w:fontKey="{3075CBB3-5DA6-0747-B063-E72C63CA9879}"/>
  </w:font>
  <w:font w:name="Times New Roman">
    <w:panose1 w:val="02020603050405020304"/>
    <w:charset w:val="00"/>
    <w:family w:val="roman"/>
    <w:pitch w:val="variable"/>
    <w:sig w:usb0="E0002EFF" w:usb1="C000785B" w:usb2="00000009" w:usb3="00000000" w:csb0="000001FF" w:csb1="00000000"/>
    <w:embedRegular r:id="rId3" w:fontKey="{7DFA1253-24DA-EB41-BD16-F5311E88BBC8}"/>
    <w:embedBold r:id="rId4" w:fontKey="{4C472C15-4B5A-AA49-83EE-6E58D553F266}"/>
    <w:embedItalic r:id="rId5" w:fontKey="{8543D242-D571-5949-8B1B-1DF94C3C1FDE}"/>
    <w:embedBoldItalic r:id="rId6" w:fontKey="{D70B9BC5-F460-2144-9CCC-758DDFB1F655}"/>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7" w:fontKey="{5CF9A35B-584A-2240-B41A-9723F0798EEC}"/>
  </w:font>
  <w:font w:name="Cambria">
    <w:panose1 w:val="02040503050406030204"/>
    <w:charset w:val="00"/>
    <w:family w:val="roman"/>
    <w:pitch w:val="variable"/>
    <w:sig w:usb0="E00002FF" w:usb1="400004FF" w:usb2="00000000" w:usb3="00000000" w:csb0="0000019F" w:csb1="00000000"/>
    <w:embedRegular r:id="rId8" w:fontKey="{44AEB246-D6C7-FE4C-B600-90FBD12728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03C62" w14:textId="77777777" w:rsidR="005D236B" w:rsidRDefault="005D2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4628E" w14:textId="77777777" w:rsidR="005D236B" w:rsidRDefault="005D2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E5745" w14:textId="77777777" w:rsidR="005D236B" w:rsidRDefault="005D2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AC36A" w14:textId="77777777" w:rsidR="007F01CC" w:rsidRDefault="007F01CC" w:rsidP="005D236B">
      <w:pPr>
        <w:spacing w:line="240" w:lineRule="auto"/>
      </w:pPr>
      <w:r>
        <w:separator/>
      </w:r>
    </w:p>
  </w:footnote>
  <w:footnote w:type="continuationSeparator" w:id="0">
    <w:p w14:paraId="724882A8" w14:textId="77777777" w:rsidR="007F01CC" w:rsidRDefault="007F01CC" w:rsidP="005D23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1A00D" w14:textId="77777777" w:rsidR="005D236B" w:rsidRDefault="005D23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49F58" w14:textId="77777777" w:rsidR="005D236B" w:rsidRDefault="005D23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98F8C" w14:textId="77777777" w:rsidR="005D236B" w:rsidRDefault="005D23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627"/>
    <w:rsid w:val="005D236B"/>
    <w:rsid w:val="007F01CC"/>
    <w:rsid w:val="00B27A8A"/>
    <w:rsid w:val="00C4162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36CD8AA-4880-3B4B-8033-1F537D238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D236B"/>
    <w:pPr>
      <w:tabs>
        <w:tab w:val="center" w:pos="4680"/>
        <w:tab w:val="right" w:pos="9360"/>
      </w:tabs>
      <w:spacing w:line="240" w:lineRule="auto"/>
    </w:pPr>
  </w:style>
  <w:style w:type="character" w:customStyle="1" w:styleId="HeaderChar">
    <w:name w:val="Header Char"/>
    <w:basedOn w:val="DefaultParagraphFont"/>
    <w:link w:val="Header"/>
    <w:uiPriority w:val="99"/>
    <w:rsid w:val="005D236B"/>
  </w:style>
  <w:style w:type="paragraph" w:styleId="Footer">
    <w:name w:val="footer"/>
    <w:basedOn w:val="Normal"/>
    <w:link w:val="FooterChar"/>
    <w:uiPriority w:val="99"/>
    <w:unhideWhenUsed/>
    <w:rsid w:val="005D236B"/>
    <w:pPr>
      <w:tabs>
        <w:tab w:val="center" w:pos="4680"/>
        <w:tab w:val="right" w:pos="9360"/>
      </w:tabs>
      <w:spacing w:line="240" w:lineRule="auto"/>
    </w:pPr>
  </w:style>
  <w:style w:type="character" w:customStyle="1" w:styleId="FooterChar">
    <w:name w:val="Footer Char"/>
    <w:basedOn w:val="DefaultParagraphFont"/>
    <w:link w:val="Footer"/>
    <w:uiPriority w:val="99"/>
    <w:rsid w:val="005D2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421</Words>
  <Characters>2400</Characters>
  <Application>Microsoft Office Word</Application>
  <DocSecurity>0</DocSecurity>
  <Lines>20</Lines>
  <Paragraphs>5</Paragraphs>
  <ScaleCrop>false</ScaleCrop>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Alexey Kuznetsov</cp:lastModifiedBy>
  <cp:revision>2</cp:revision>
  <dcterms:created xsi:type="dcterms:W3CDTF">2026-04-06T13:23:00Z</dcterms:created>
  <dcterms:modified xsi:type="dcterms:W3CDTF">2026-04-06T13:29:00Z</dcterms:modified>
</cp:coreProperties>
</file>