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8ABA" w14:textId="77777777" w:rsidR="00CE4485" w:rsidRPr="00CE4485" w:rsidRDefault="00CE4485" w:rsidP="00A8166C">
      <w:pPr>
        <w:spacing w:after="0"/>
        <w:jc w:val="center"/>
        <w:rPr>
          <w:b/>
          <w:bCs/>
          <w:sz w:val="24"/>
        </w:rPr>
      </w:pPr>
      <w:r w:rsidRPr="00CE4485">
        <w:rPr>
          <w:b/>
          <w:bCs/>
          <w:sz w:val="24"/>
        </w:rPr>
        <w:t>Saposin A Nanoparticles Improve Stability of Toxin-Bound Human Nav1.4 for Cryo-EM Analysis</w:t>
      </w:r>
    </w:p>
    <w:p w14:paraId="651AD470" w14:textId="77777777" w:rsidR="00CE4485" w:rsidRPr="00CE4485" w:rsidRDefault="00CE4485" w:rsidP="00A8166C">
      <w:pPr>
        <w:spacing w:after="0"/>
        <w:jc w:val="center"/>
        <w:rPr>
          <w:b/>
          <w:bCs/>
          <w:i/>
          <w:iCs/>
          <w:sz w:val="24"/>
          <w:szCs w:val="28"/>
        </w:rPr>
      </w:pPr>
      <w:r w:rsidRPr="00CE4485">
        <w:rPr>
          <w:b/>
          <w:bCs/>
          <w:i/>
          <w:iCs/>
          <w:sz w:val="24"/>
          <w:szCs w:val="28"/>
        </w:rPr>
        <w:t>Zhao Yuge</w:t>
      </w:r>
    </w:p>
    <w:p w14:paraId="5154C8D8" w14:textId="77777777" w:rsidR="00CE4485" w:rsidRPr="00A8166C" w:rsidRDefault="00CE4485" w:rsidP="00A8166C">
      <w:pPr>
        <w:spacing w:after="0"/>
        <w:jc w:val="center"/>
        <w:rPr>
          <w:i/>
          <w:iCs/>
          <w:sz w:val="24"/>
          <w:szCs w:val="28"/>
        </w:rPr>
      </w:pPr>
      <w:r w:rsidRPr="00A8166C">
        <w:rPr>
          <w:i/>
          <w:iCs/>
          <w:sz w:val="24"/>
          <w:szCs w:val="28"/>
        </w:rPr>
        <w:t>Master’s student</w:t>
      </w:r>
    </w:p>
    <w:p w14:paraId="093FAE9C" w14:textId="77777777" w:rsidR="00A8166C" w:rsidRDefault="00CE4485" w:rsidP="00A8166C">
      <w:pPr>
        <w:spacing w:after="0"/>
        <w:jc w:val="center"/>
        <w:rPr>
          <w:rFonts w:eastAsia="宋体"/>
          <w:i/>
          <w:iCs/>
          <w:sz w:val="24"/>
          <w:szCs w:val="28"/>
        </w:rPr>
      </w:pPr>
      <w:r w:rsidRPr="00CE4485">
        <w:rPr>
          <w:i/>
          <w:iCs/>
          <w:sz w:val="24"/>
          <w:szCs w:val="28"/>
        </w:rPr>
        <w:t>Shenzhen MSU-BIT University</w:t>
      </w:r>
    </w:p>
    <w:p w14:paraId="3CA9DF7C" w14:textId="064E69DB" w:rsidR="00CE4485" w:rsidRPr="00CE4485" w:rsidRDefault="00CE4485" w:rsidP="00A8166C">
      <w:pPr>
        <w:spacing w:after="0"/>
        <w:jc w:val="center"/>
        <w:rPr>
          <w:i/>
          <w:iCs/>
          <w:sz w:val="24"/>
          <w:szCs w:val="28"/>
        </w:rPr>
      </w:pPr>
      <w:r w:rsidRPr="00CE4485">
        <w:rPr>
          <w:i/>
          <w:iCs/>
          <w:sz w:val="24"/>
          <w:szCs w:val="28"/>
        </w:rPr>
        <w:t xml:space="preserve"> Faculty of Biology, Shenzhen, China</w:t>
      </w:r>
    </w:p>
    <w:p w14:paraId="5BEF69CB" w14:textId="54FCB1A4" w:rsidR="00CE4485" w:rsidRPr="00CE4485" w:rsidRDefault="00CE4485" w:rsidP="00A8166C">
      <w:pPr>
        <w:spacing w:after="0"/>
        <w:jc w:val="center"/>
        <w:rPr>
          <w:rFonts w:eastAsia="宋体" w:hint="eastAsia"/>
          <w:i/>
          <w:iCs/>
        </w:rPr>
      </w:pPr>
      <w:r w:rsidRPr="00CE4485">
        <w:rPr>
          <w:i/>
          <w:iCs/>
        </w:rPr>
        <w:t xml:space="preserve">E-mail: </w:t>
      </w:r>
      <w:r w:rsidRPr="00CE4485">
        <w:rPr>
          <w:rFonts w:eastAsia="宋体" w:hint="eastAsia"/>
          <w:i/>
          <w:iCs/>
        </w:rPr>
        <w:t>2120240055@smbu.edu.cn</w:t>
      </w:r>
    </w:p>
    <w:p w14:paraId="342F6C1C" w14:textId="77777777" w:rsidR="00E816E9" w:rsidRPr="00E816E9" w:rsidRDefault="00E816E9" w:rsidP="00E816E9">
      <w:pPr>
        <w:spacing w:after="0" w:line="240" w:lineRule="auto"/>
        <w:ind w:firstLine="397"/>
        <w:jc w:val="both"/>
        <w:rPr>
          <w:sz w:val="24"/>
          <w:szCs w:val="28"/>
        </w:rPr>
      </w:pPr>
      <w:r w:rsidRPr="00E816E9">
        <w:rPr>
          <w:sz w:val="24"/>
          <w:szCs w:val="28"/>
        </w:rPr>
        <w:t>Voltage-gated sodium channel Nav1.4 plays a central role in skeletal muscle excitability and is a key target for gating modifier toxins (GMTs) that interact with voltage-sensing domains [1,2]. Structural investigation of toxin-bound Nav1.4 complexes by cryo-electron microscopy (cryo-EM) remains challenging, primarily due to difficulties in obtaining stable and homogeneous samples in appropriate membrane environments. In particular, the choice of membrane mimetic is a critical factor influencing protein stability, conformational integrity, and toxin binding [3,4].</w:t>
      </w:r>
    </w:p>
    <w:p w14:paraId="1A5344B7" w14:textId="77777777" w:rsidR="00E816E9" w:rsidRPr="00E816E9" w:rsidRDefault="00E816E9" w:rsidP="00E816E9">
      <w:pPr>
        <w:spacing w:after="0" w:line="240" w:lineRule="auto"/>
        <w:ind w:firstLine="397"/>
        <w:jc w:val="both"/>
        <w:rPr>
          <w:sz w:val="24"/>
          <w:szCs w:val="28"/>
        </w:rPr>
      </w:pPr>
      <w:r w:rsidRPr="00E816E9">
        <w:rPr>
          <w:sz w:val="24"/>
          <w:szCs w:val="28"/>
        </w:rPr>
        <w:t>In this study, a sample preparation workflow for the human Nav1.4–β1 complex was established using a BacMam-based expression system in Expi293 cells, followed by affinity purification and reconstitution into different membrane-mimetic environments. A comparative analysis was performed across detergent micelles (GDN and digitonin), MSP2N2 nanodiscs, and saposin A–based lipid nanoparticles to evaluate their suitability for cryo-EM sample preparation of toxin-bound Nav1.4 complexes.</w:t>
      </w:r>
    </w:p>
    <w:p w14:paraId="576B32BC" w14:textId="77777777" w:rsidR="00E816E9" w:rsidRDefault="00E816E9" w:rsidP="00E816E9">
      <w:pPr>
        <w:spacing w:after="0" w:line="240" w:lineRule="auto"/>
        <w:ind w:firstLine="397"/>
        <w:jc w:val="both"/>
        <w:rPr>
          <w:rFonts w:eastAsia="宋体"/>
          <w:sz w:val="24"/>
          <w:szCs w:val="28"/>
        </w:rPr>
      </w:pPr>
      <w:r w:rsidRPr="00E816E9">
        <w:rPr>
          <w:sz w:val="24"/>
          <w:szCs w:val="28"/>
        </w:rPr>
        <w:t>The results demonstrate that the choice of membrane mimetic significantly affects sample behavior. Digitonin micelles produced larger and more heterogeneous particles, indicating reduced suitability for structural studies. GDN micelles enabled protein recovery but lacked a native-like lipid environment required for stabilizing functionally relevant conformations. In contrast, both MSP2N2 nanodiscs and saposin A nanoparticles provided improved particle uniformity and stability [3,4]. Among these systems, saposin A–based reconstitution showed the most favorable overall performance. Optimization of the reconstitution conditions identified a protein:saposin A:lipid ratio of 1:30:25 as a reproducible condition yielding homogeneous samples with a dominant and symmetric size-exclusion chromatography profile.</w:t>
      </w:r>
    </w:p>
    <w:p w14:paraId="76ED01B6" w14:textId="77777777" w:rsidR="00E816E9" w:rsidRPr="00E816E9" w:rsidRDefault="00E816E9" w:rsidP="00E816E9">
      <w:pPr>
        <w:spacing w:after="0" w:line="240" w:lineRule="auto"/>
        <w:ind w:firstLine="397"/>
        <w:jc w:val="both"/>
        <w:rPr>
          <w:sz w:val="24"/>
          <w:szCs w:val="28"/>
        </w:rPr>
      </w:pPr>
      <w:r w:rsidRPr="00E816E9">
        <w:rPr>
          <w:sz w:val="24"/>
          <w:szCs w:val="28"/>
        </w:rPr>
        <w:t>These findings indicate that saposin A nanoparticles provide an effective membrane-mimetic platform for stabilizing Nav1.4 and its toxin-bound complexes. The optimized workflow established in this study lays a practical foundation for future high-resolution cryo-EM analysis of Nav1.4–toxin interactions.</w:t>
      </w:r>
    </w:p>
    <w:p w14:paraId="6A10A84A" w14:textId="139930AC" w:rsidR="00CE4485" w:rsidRPr="00CE4485" w:rsidRDefault="00CE4485" w:rsidP="00CE4485">
      <w:pPr>
        <w:spacing w:after="0" w:line="240" w:lineRule="auto"/>
        <w:jc w:val="both"/>
        <w:rPr>
          <w:b/>
          <w:bCs/>
          <w:sz w:val="24"/>
          <w:szCs w:val="28"/>
        </w:rPr>
      </w:pPr>
      <w:r w:rsidRPr="00CE4485">
        <w:rPr>
          <w:b/>
          <w:bCs/>
          <w:sz w:val="24"/>
          <w:szCs w:val="28"/>
        </w:rPr>
        <w:t>References</w:t>
      </w:r>
    </w:p>
    <w:p w14:paraId="1C150C95" w14:textId="77777777" w:rsidR="00CE4485" w:rsidRPr="00CE4485" w:rsidRDefault="00CE4485" w:rsidP="00CE4485">
      <w:pPr>
        <w:pStyle w:val="a9"/>
        <w:numPr>
          <w:ilvl w:val="0"/>
          <w:numId w:val="1"/>
        </w:numPr>
        <w:spacing w:after="0" w:line="240" w:lineRule="auto"/>
        <w:jc w:val="both"/>
        <w:rPr>
          <w:sz w:val="24"/>
          <w:szCs w:val="28"/>
        </w:rPr>
      </w:pPr>
      <w:r w:rsidRPr="00CE4485">
        <w:rPr>
          <w:sz w:val="24"/>
          <w:szCs w:val="28"/>
        </w:rPr>
        <w:t xml:space="preserve">Pan X. et al. Structure of the human voltage-gated sodium channel Nav1.4 in complex with β1 // Science. 2018. </w:t>
      </w:r>
    </w:p>
    <w:p w14:paraId="6E90779C" w14:textId="77777777" w:rsidR="00CE4485" w:rsidRPr="00CE4485" w:rsidRDefault="00CE4485" w:rsidP="00CE4485">
      <w:pPr>
        <w:pStyle w:val="a9"/>
        <w:numPr>
          <w:ilvl w:val="0"/>
          <w:numId w:val="1"/>
        </w:numPr>
        <w:spacing w:after="0" w:line="240" w:lineRule="auto"/>
        <w:jc w:val="both"/>
        <w:rPr>
          <w:sz w:val="24"/>
          <w:szCs w:val="28"/>
        </w:rPr>
      </w:pPr>
      <w:r w:rsidRPr="00CE4485">
        <w:rPr>
          <w:sz w:val="24"/>
          <w:szCs w:val="28"/>
        </w:rPr>
        <w:t xml:space="preserve">Männikkö R. et al. Spider toxin inhibits gating pore currents underlying periodic paralysis // Proc. Natl. Acad. Sci. U.S.A. 2018. </w:t>
      </w:r>
    </w:p>
    <w:p w14:paraId="37498074" w14:textId="77777777" w:rsidR="00CE4485" w:rsidRPr="00CE4485" w:rsidRDefault="00CE4485" w:rsidP="00CE4485">
      <w:pPr>
        <w:pStyle w:val="a9"/>
        <w:numPr>
          <w:ilvl w:val="0"/>
          <w:numId w:val="1"/>
        </w:numPr>
        <w:spacing w:after="0" w:line="240" w:lineRule="auto"/>
        <w:jc w:val="both"/>
        <w:rPr>
          <w:sz w:val="24"/>
          <w:szCs w:val="28"/>
        </w:rPr>
      </w:pPr>
      <w:r w:rsidRPr="00CE4485">
        <w:rPr>
          <w:sz w:val="24"/>
          <w:szCs w:val="28"/>
        </w:rPr>
        <w:t xml:space="preserve">Frauenfeld J. et al. A saposin-lipoprotein nanoparticle system for membrane proteins // Nat. Methods. 2016. </w:t>
      </w:r>
    </w:p>
    <w:p w14:paraId="54EB86BB" w14:textId="19D1A175" w:rsidR="00CE4485" w:rsidRPr="00CE4485" w:rsidRDefault="00CE4485" w:rsidP="00CE4485">
      <w:pPr>
        <w:pStyle w:val="a9"/>
        <w:numPr>
          <w:ilvl w:val="0"/>
          <w:numId w:val="1"/>
        </w:numPr>
        <w:spacing w:after="0" w:line="240" w:lineRule="auto"/>
        <w:jc w:val="both"/>
        <w:rPr>
          <w:rFonts w:hint="eastAsia"/>
          <w:sz w:val="24"/>
          <w:szCs w:val="28"/>
        </w:rPr>
      </w:pPr>
      <w:r w:rsidRPr="00CE4485">
        <w:rPr>
          <w:sz w:val="24"/>
          <w:szCs w:val="28"/>
        </w:rPr>
        <w:t>Flayhan A. et al. Saposin lipid nanoparticles: a versatile tool for membrane protein research // Structure. 2018.</w:t>
      </w:r>
    </w:p>
    <w:sectPr w:rsidR="00CE4485" w:rsidRPr="00CE4485" w:rsidSect="00CE4485">
      <w:pgSz w:w="11906" w:h="16838"/>
      <w:pgMar w:top="1134" w:right="1361" w:bottom="1134"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3340C"/>
    <w:multiLevelType w:val="hybridMultilevel"/>
    <w:tmpl w:val="FF585604"/>
    <w:lvl w:ilvl="0" w:tplc="0409000F">
      <w:start w:val="1"/>
      <w:numFmt w:val="decimal"/>
      <w:lvlText w:val="%1."/>
      <w:lvlJc w:val="left"/>
      <w:pPr>
        <w:ind w:left="837" w:hanging="440"/>
      </w:pPr>
    </w:lvl>
    <w:lvl w:ilvl="1" w:tplc="04090019" w:tentative="1">
      <w:start w:val="1"/>
      <w:numFmt w:val="lowerLetter"/>
      <w:lvlText w:val="%2)"/>
      <w:lvlJc w:val="left"/>
      <w:pPr>
        <w:ind w:left="1277" w:hanging="440"/>
      </w:pPr>
    </w:lvl>
    <w:lvl w:ilvl="2" w:tplc="0409001B" w:tentative="1">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num w:numId="1" w16cid:durableId="159312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7D"/>
    <w:rsid w:val="001C6A7D"/>
    <w:rsid w:val="006B3838"/>
    <w:rsid w:val="00A8166C"/>
    <w:rsid w:val="00BF4F07"/>
    <w:rsid w:val="00CE4485"/>
    <w:rsid w:val="00D62BD8"/>
    <w:rsid w:val="00D671A0"/>
    <w:rsid w:val="00E816E9"/>
    <w:rsid w:val="00FC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C22C"/>
  <w15:chartTrackingRefBased/>
  <w15:docId w15:val="{A892E3D4-7A35-4FDD-A375-6EC3CD74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6A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6A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6A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6A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6A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6A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6A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6A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6A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6A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6A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6A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6A7D"/>
    <w:rPr>
      <w:rFonts w:cstheme="majorBidi"/>
      <w:color w:val="2F5496" w:themeColor="accent1" w:themeShade="BF"/>
      <w:sz w:val="28"/>
      <w:szCs w:val="28"/>
    </w:rPr>
  </w:style>
  <w:style w:type="character" w:customStyle="1" w:styleId="50">
    <w:name w:val="标题 5 字符"/>
    <w:basedOn w:val="a0"/>
    <w:link w:val="5"/>
    <w:uiPriority w:val="9"/>
    <w:semiHidden/>
    <w:rsid w:val="001C6A7D"/>
    <w:rPr>
      <w:rFonts w:cstheme="majorBidi"/>
      <w:color w:val="2F5496" w:themeColor="accent1" w:themeShade="BF"/>
      <w:sz w:val="24"/>
    </w:rPr>
  </w:style>
  <w:style w:type="character" w:customStyle="1" w:styleId="60">
    <w:name w:val="标题 6 字符"/>
    <w:basedOn w:val="a0"/>
    <w:link w:val="6"/>
    <w:uiPriority w:val="9"/>
    <w:semiHidden/>
    <w:rsid w:val="001C6A7D"/>
    <w:rPr>
      <w:rFonts w:cstheme="majorBidi"/>
      <w:b/>
      <w:bCs/>
      <w:color w:val="2F5496" w:themeColor="accent1" w:themeShade="BF"/>
    </w:rPr>
  </w:style>
  <w:style w:type="character" w:customStyle="1" w:styleId="70">
    <w:name w:val="标题 7 字符"/>
    <w:basedOn w:val="a0"/>
    <w:link w:val="7"/>
    <w:uiPriority w:val="9"/>
    <w:semiHidden/>
    <w:rsid w:val="001C6A7D"/>
    <w:rPr>
      <w:rFonts w:cstheme="majorBidi"/>
      <w:b/>
      <w:bCs/>
      <w:color w:val="595959" w:themeColor="text1" w:themeTint="A6"/>
    </w:rPr>
  </w:style>
  <w:style w:type="character" w:customStyle="1" w:styleId="80">
    <w:name w:val="标题 8 字符"/>
    <w:basedOn w:val="a0"/>
    <w:link w:val="8"/>
    <w:uiPriority w:val="9"/>
    <w:semiHidden/>
    <w:rsid w:val="001C6A7D"/>
    <w:rPr>
      <w:rFonts w:cstheme="majorBidi"/>
      <w:color w:val="595959" w:themeColor="text1" w:themeTint="A6"/>
    </w:rPr>
  </w:style>
  <w:style w:type="character" w:customStyle="1" w:styleId="90">
    <w:name w:val="标题 9 字符"/>
    <w:basedOn w:val="a0"/>
    <w:link w:val="9"/>
    <w:uiPriority w:val="9"/>
    <w:semiHidden/>
    <w:rsid w:val="001C6A7D"/>
    <w:rPr>
      <w:rFonts w:eastAsiaTheme="majorEastAsia" w:cstheme="majorBidi"/>
      <w:color w:val="595959" w:themeColor="text1" w:themeTint="A6"/>
    </w:rPr>
  </w:style>
  <w:style w:type="paragraph" w:styleId="a3">
    <w:name w:val="Title"/>
    <w:basedOn w:val="a"/>
    <w:next w:val="a"/>
    <w:link w:val="a4"/>
    <w:uiPriority w:val="10"/>
    <w:qFormat/>
    <w:rsid w:val="001C6A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6A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A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6A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A7D"/>
    <w:pPr>
      <w:spacing w:before="160"/>
      <w:jc w:val="center"/>
    </w:pPr>
    <w:rPr>
      <w:i/>
      <w:iCs/>
      <w:color w:val="404040" w:themeColor="text1" w:themeTint="BF"/>
    </w:rPr>
  </w:style>
  <w:style w:type="character" w:customStyle="1" w:styleId="a8">
    <w:name w:val="引用 字符"/>
    <w:basedOn w:val="a0"/>
    <w:link w:val="a7"/>
    <w:uiPriority w:val="29"/>
    <w:rsid w:val="001C6A7D"/>
    <w:rPr>
      <w:i/>
      <w:iCs/>
      <w:color w:val="404040" w:themeColor="text1" w:themeTint="BF"/>
    </w:rPr>
  </w:style>
  <w:style w:type="paragraph" w:styleId="a9">
    <w:name w:val="List Paragraph"/>
    <w:basedOn w:val="a"/>
    <w:uiPriority w:val="34"/>
    <w:qFormat/>
    <w:rsid w:val="001C6A7D"/>
    <w:pPr>
      <w:ind w:left="720"/>
      <w:contextualSpacing/>
    </w:pPr>
  </w:style>
  <w:style w:type="character" w:styleId="aa">
    <w:name w:val="Intense Emphasis"/>
    <w:basedOn w:val="a0"/>
    <w:uiPriority w:val="21"/>
    <w:qFormat/>
    <w:rsid w:val="001C6A7D"/>
    <w:rPr>
      <w:i/>
      <w:iCs/>
      <w:color w:val="2F5496" w:themeColor="accent1" w:themeShade="BF"/>
    </w:rPr>
  </w:style>
  <w:style w:type="paragraph" w:styleId="ab">
    <w:name w:val="Intense Quote"/>
    <w:basedOn w:val="a"/>
    <w:next w:val="a"/>
    <w:link w:val="ac"/>
    <w:uiPriority w:val="30"/>
    <w:qFormat/>
    <w:rsid w:val="001C6A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6A7D"/>
    <w:rPr>
      <w:i/>
      <w:iCs/>
      <w:color w:val="2F5496" w:themeColor="accent1" w:themeShade="BF"/>
    </w:rPr>
  </w:style>
  <w:style w:type="character" w:styleId="ad">
    <w:name w:val="Intense Reference"/>
    <w:basedOn w:val="a0"/>
    <w:uiPriority w:val="32"/>
    <w:qFormat/>
    <w:rsid w:val="001C6A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3">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 zhao</dc:creator>
  <cp:keywords/>
  <dc:description/>
  <cp:lastModifiedBy>yuge zhao</cp:lastModifiedBy>
  <cp:revision>3</cp:revision>
  <dcterms:created xsi:type="dcterms:W3CDTF">2026-04-05T07:14:00Z</dcterms:created>
  <dcterms:modified xsi:type="dcterms:W3CDTF">2026-04-05T07:43:00Z</dcterms:modified>
</cp:coreProperties>
</file>