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20FD" w14:textId="4D7D307E" w:rsidR="00934B08" w:rsidRPr="00445EF0" w:rsidRDefault="006B4C45" w:rsidP="00FF16D4">
      <w:pPr>
        <w:spacing w:after="0" w:line="240" w:lineRule="auto"/>
        <w:jc w:val="center"/>
        <w:rPr>
          <w:rFonts w:eastAsia="Times New Roman"/>
          <w:b/>
          <w:bCs/>
          <w:color w:val="353535"/>
          <w:szCs w:val="24"/>
          <w:lang w:val="ru-RU"/>
        </w:rPr>
      </w:pPr>
      <w:r w:rsidRPr="00445EF0">
        <w:rPr>
          <w:rFonts w:eastAsia="Times New Roman"/>
          <w:b/>
          <w:bCs/>
          <w:color w:val="353535"/>
          <w:szCs w:val="24"/>
          <w:lang w:val="ru-RU"/>
        </w:rPr>
        <w:t xml:space="preserve">Проектирование оригами-подструктуры, обладающей характеристикой </w:t>
      </w:r>
      <w:proofErr w:type="spellStart"/>
      <w:r w:rsidRPr="00445EF0">
        <w:rPr>
          <w:rFonts w:eastAsia="Times New Roman"/>
          <w:b/>
          <w:bCs/>
          <w:color w:val="353535"/>
          <w:szCs w:val="24"/>
          <w:lang w:val="ru-RU"/>
        </w:rPr>
        <w:t>квазинулевой</w:t>
      </w:r>
      <w:proofErr w:type="spellEnd"/>
      <w:r w:rsidRPr="00445EF0">
        <w:rPr>
          <w:rFonts w:eastAsia="Times New Roman"/>
          <w:b/>
          <w:bCs/>
          <w:color w:val="353535"/>
          <w:szCs w:val="24"/>
          <w:lang w:val="ru-RU"/>
        </w:rPr>
        <w:t xml:space="preserve"> жёсткости, для низкочастотной виброизоляции</w:t>
      </w:r>
    </w:p>
    <w:p w14:paraId="0A9B4794" w14:textId="17BCA73D" w:rsidR="00934B08" w:rsidRPr="00445EF0" w:rsidRDefault="000958CC" w:rsidP="00FF16D4">
      <w:pPr>
        <w:spacing w:after="0" w:line="240" w:lineRule="auto"/>
        <w:jc w:val="center"/>
        <w:rPr>
          <w:rFonts w:eastAsia="Times New Roman"/>
          <w:i/>
          <w:iCs/>
          <w:color w:val="353535"/>
          <w:szCs w:val="24"/>
          <w:lang w:val="ru-RU"/>
        </w:rPr>
      </w:pPr>
      <w:r w:rsidRPr="00445EF0">
        <w:rPr>
          <w:rFonts w:eastAsia="Times New Roman"/>
          <w:i/>
          <w:iCs/>
          <w:color w:val="353535"/>
          <w:szCs w:val="24"/>
          <w:lang w:val="ru-RU"/>
        </w:rPr>
        <w:t xml:space="preserve">Линь </w:t>
      </w:r>
      <w:proofErr w:type="spellStart"/>
      <w:r w:rsidRPr="00445EF0">
        <w:rPr>
          <w:rFonts w:eastAsia="Times New Roman"/>
          <w:i/>
          <w:iCs/>
          <w:color w:val="353535"/>
          <w:szCs w:val="24"/>
          <w:lang w:val="ru-RU"/>
        </w:rPr>
        <w:t>Цзысюнь</w:t>
      </w:r>
      <w:proofErr w:type="spellEnd"/>
    </w:p>
    <w:p w14:paraId="0215BF0D" w14:textId="0560E0C0" w:rsidR="00934B08" w:rsidRPr="00445EF0" w:rsidRDefault="00514DBA" w:rsidP="00FF16D4">
      <w:pPr>
        <w:spacing w:after="0" w:line="240" w:lineRule="auto"/>
        <w:jc w:val="center"/>
        <w:rPr>
          <w:rFonts w:eastAsia="Times New Roman"/>
          <w:i/>
          <w:iCs/>
          <w:color w:val="353535"/>
          <w:szCs w:val="24"/>
          <w:lang w:val="ru-RU"/>
        </w:rPr>
      </w:pPr>
      <w:r w:rsidRPr="00445EF0">
        <w:rPr>
          <w:rFonts w:eastAsia="Times New Roman"/>
          <w:i/>
          <w:iCs/>
          <w:color w:val="353535"/>
          <w:szCs w:val="24"/>
          <w:lang w:val="ru-RU"/>
        </w:rPr>
        <w:t>магистрант 1 курса</w:t>
      </w:r>
    </w:p>
    <w:p w14:paraId="31A81D02" w14:textId="196D9259" w:rsidR="00445EF0" w:rsidRPr="00445EF0" w:rsidRDefault="00514DBA" w:rsidP="00FF16D4">
      <w:pPr>
        <w:spacing w:after="0" w:line="240" w:lineRule="auto"/>
        <w:jc w:val="center"/>
        <w:rPr>
          <w:rFonts w:eastAsia="Times New Roman" w:hint="eastAsia"/>
          <w:i/>
          <w:iCs/>
          <w:color w:val="353535"/>
          <w:szCs w:val="24"/>
          <w:lang w:val="ru-RU"/>
        </w:rPr>
      </w:pPr>
      <w:r w:rsidRPr="00445EF0">
        <w:rPr>
          <w:rFonts w:eastAsia="Times New Roman"/>
          <w:i/>
          <w:iCs/>
          <w:color w:val="353535"/>
          <w:szCs w:val="24"/>
          <w:lang w:val="ru-RU"/>
        </w:rPr>
        <w:t>Университет МГУ–ППИ в Шэньчжэне,</w:t>
      </w:r>
    </w:p>
    <w:p w14:paraId="7D52840B" w14:textId="1A7B215E" w:rsidR="00255189" w:rsidRPr="00445EF0" w:rsidRDefault="00255189" w:rsidP="00FF16D4">
      <w:pPr>
        <w:spacing w:after="0" w:line="240" w:lineRule="auto"/>
        <w:jc w:val="center"/>
        <w:rPr>
          <w:rFonts w:eastAsia="Times New Roman"/>
          <w:i/>
          <w:iCs/>
          <w:color w:val="353535"/>
          <w:szCs w:val="24"/>
          <w:lang w:val="ru-RU"/>
        </w:rPr>
      </w:pPr>
      <w:r w:rsidRPr="00445EF0">
        <w:rPr>
          <w:rFonts w:eastAsia="Times New Roman"/>
          <w:i/>
          <w:iCs/>
          <w:color w:val="353535"/>
          <w:szCs w:val="24"/>
          <w:lang w:val="ru-RU"/>
        </w:rPr>
        <w:t>Факультет наук о материалах</w:t>
      </w:r>
      <w:r w:rsidR="00445EF0" w:rsidRPr="00445EF0">
        <w:rPr>
          <w:rFonts w:ascii="宋体" w:eastAsia="宋体" w:hAnsi="宋体" w:cs="宋体" w:hint="eastAsia"/>
          <w:i/>
          <w:iCs/>
          <w:color w:val="353535"/>
          <w:szCs w:val="24"/>
          <w:lang w:val="ru-RU"/>
        </w:rPr>
        <w:t>，</w:t>
      </w:r>
      <w:r w:rsidR="00514DBA" w:rsidRPr="00445EF0">
        <w:rPr>
          <w:rFonts w:eastAsia="Times New Roman"/>
          <w:i/>
          <w:iCs/>
          <w:color w:val="353535"/>
          <w:szCs w:val="24"/>
          <w:lang w:val="ru-RU"/>
        </w:rPr>
        <w:t>Шэньчжэнь, Китай</w:t>
      </w:r>
    </w:p>
    <w:p w14:paraId="504E621D" w14:textId="330A49F5" w:rsidR="00934B08" w:rsidRPr="00445EF0" w:rsidRDefault="00255189" w:rsidP="00FF16D4">
      <w:pPr>
        <w:spacing w:after="0" w:line="240" w:lineRule="auto"/>
        <w:jc w:val="center"/>
        <w:rPr>
          <w:rFonts w:eastAsia="Times New Roman"/>
          <w:i/>
          <w:iCs/>
          <w:color w:val="353535"/>
          <w:szCs w:val="24"/>
          <w:lang w:val="ru-RU"/>
        </w:rPr>
      </w:pPr>
      <w:r w:rsidRPr="00445EF0">
        <w:rPr>
          <w:rFonts w:eastAsia="Times New Roman"/>
          <w:i/>
          <w:iCs/>
          <w:color w:val="353535"/>
          <w:szCs w:val="24"/>
          <w:lang w:val="ru-RU"/>
        </w:rPr>
        <w:t>E–</w:t>
      </w:r>
      <w:proofErr w:type="spellStart"/>
      <w:r w:rsidRPr="00445EF0">
        <w:rPr>
          <w:rFonts w:eastAsia="Times New Roman"/>
          <w:i/>
          <w:iCs/>
          <w:color w:val="353535"/>
          <w:szCs w:val="24"/>
          <w:lang w:val="ru-RU"/>
        </w:rPr>
        <w:t>mail</w:t>
      </w:r>
      <w:r w:rsidRPr="00445EF0">
        <w:rPr>
          <w:rFonts w:ascii="宋体" w:eastAsia="宋体" w:hAnsi="宋体" w:cs="宋体" w:hint="eastAsia"/>
          <w:i/>
          <w:iCs/>
          <w:color w:val="353535"/>
          <w:szCs w:val="24"/>
          <w:lang w:val="ru-RU"/>
        </w:rPr>
        <w:t>：</w:t>
      </w:r>
      <w:r w:rsidR="000958CC" w:rsidRPr="00445EF0">
        <w:rPr>
          <w:rFonts w:eastAsia="Times New Roman" w:hint="eastAsia"/>
          <w:i/>
          <w:iCs/>
          <w:color w:val="353535"/>
          <w:szCs w:val="24"/>
          <w:lang w:val="ru-RU"/>
        </w:rPr>
        <w:t>linzixun</w:t>
      </w:r>
      <w:proofErr w:type="spellEnd"/>
      <w:r w:rsidR="000958CC" w:rsidRPr="00445EF0">
        <w:rPr>
          <w:rFonts w:eastAsia="Times New Roman" w:hint="eastAsia"/>
          <w:i/>
          <w:iCs/>
          <w:color w:val="353535"/>
          <w:szCs w:val="24"/>
          <w:lang w:val="ru-RU"/>
        </w:rPr>
        <w:t>@163</w:t>
      </w:r>
      <w:r w:rsidR="000958CC" w:rsidRPr="00445EF0">
        <w:rPr>
          <w:rFonts w:eastAsia="Times New Roman"/>
          <w:i/>
          <w:iCs/>
          <w:color w:val="353535"/>
          <w:szCs w:val="24"/>
          <w:lang w:val="ru-RU"/>
        </w:rPr>
        <w:t>.com</w:t>
      </w:r>
    </w:p>
    <w:p w14:paraId="6F6A501F" w14:textId="77777777" w:rsidR="00AD184C" w:rsidRPr="00AD184C" w:rsidRDefault="00445EF0" w:rsidP="00AD184C">
      <w:pPr>
        <w:spacing w:after="0" w:line="240" w:lineRule="auto"/>
        <w:jc w:val="both"/>
        <w:rPr>
          <w:rFonts w:eastAsia="Times New Roman"/>
          <w:color w:val="353535"/>
          <w:szCs w:val="24"/>
          <w:lang w:val="ru-RU"/>
        </w:rPr>
      </w:pPr>
      <w:r w:rsidRPr="00CA4C91">
        <w:rPr>
          <w:rFonts w:eastAsia="Times New Roman"/>
          <w:color w:val="353535"/>
          <w:sz w:val="23"/>
          <w:szCs w:val="23"/>
        </w:rPr>
        <w:t> </w:t>
      </w:r>
      <w:r w:rsidR="00513C13" w:rsidRPr="00513C13">
        <w:rPr>
          <w:rFonts w:eastAsia="宋体" w:hint="eastAsia"/>
          <w:color w:val="353535"/>
          <w:sz w:val="23"/>
          <w:szCs w:val="23"/>
          <w:lang w:val="ru-RU" w:eastAsia="zh-CN"/>
        </w:rPr>
        <w:t xml:space="preserve"> </w:t>
      </w:r>
      <w:r w:rsidR="00AD184C" w:rsidRPr="00AD184C">
        <w:rPr>
          <w:rFonts w:eastAsia="Times New Roman"/>
          <w:color w:val="353535"/>
          <w:szCs w:val="24"/>
          <w:lang w:val="ru-RU"/>
        </w:rPr>
        <w:t xml:space="preserve">Для изоляции низкочастотных вибрационных волн традиционные линейные </w:t>
      </w:r>
      <w:proofErr w:type="spellStart"/>
      <w:r w:rsidR="00AD184C" w:rsidRPr="00AD184C">
        <w:rPr>
          <w:rFonts w:eastAsia="Times New Roman"/>
          <w:color w:val="353535"/>
          <w:szCs w:val="24"/>
          <w:lang w:val="ru-RU"/>
        </w:rPr>
        <w:t>виброизоляционные</w:t>
      </w:r>
      <w:proofErr w:type="spellEnd"/>
      <w:r w:rsidR="00AD184C" w:rsidRPr="00AD184C">
        <w:rPr>
          <w:rFonts w:eastAsia="Times New Roman"/>
          <w:color w:val="353535"/>
          <w:szCs w:val="24"/>
          <w:lang w:val="ru-RU"/>
        </w:rPr>
        <w:t xml:space="preserve"> структуры (например, линейные решётчатые метаматериалы) не могут в достаточной степени разрешить противоречие между низкочастотной виброизоляцией и лёгкостью конструкции. Нелинейные структуры с </w:t>
      </w:r>
      <w:proofErr w:type="spellStart"/>
      <w:r w:rsidR="00AD184C" w:rsidRPr="00AD184C">
        <w:rPr>
          <w:rFonts w:eastAsia="Times New Roman"/>
          <w:color w:val="353535"/>
          <w:szCs w:val="24"/>
          <w:lang w:val="ru-RU"/>
        </w:rPr>
        <w:t>квазинулевой</w:t>
      </w:r>
      <w:proofErr w:type="spellEnd"/>
      <w:r w:rsidR="00AD184C" w:rsidRPr="00AD184C">
        <w:rPr>
          <w:rFonts w:eastAsia="Times New Roman"/>
          <w:color w:val="353535"/>
          <w:szCs w:val="24"/>
          <w:lang w:val="ru-RU"/>
        </w:rPr>
        <w:t xml:space="preserve"> жёсткостью (</w:t>
      </w:r>
      <w:r w:rsidR="00AD184C" w:rsidRPr="00AD184C">
        <w:rPr>
          <w:rFonts w:eastAsia="Times New Roman"/>
          <w:color w:val="353535"/>
          <w:szCs w:val="24"/>
        </w:rPr>
        <w:t>QZS</w:t>
      </w:r>
      <w:r w:rsidR="00AD184C" w:rsidRPr="00AD184C">
        <w:rPr>
          <w:rFonts w:eastAsia="Times New Roman"/>
          <w:color w:val="353535"/>
          <w:szCs w:val="24"/>
          <w:lang w:val="ru-RU"/>
        </w:rPr>
        <w:t xml:space="preserve">) обладают очень низкой динамической жёсткостью на плато </w:t>
      </w:r>
      <w:proofErr w:type="spellStart"/>
      <w:r w:rsidR="00AD184C" w:rsidRPr="00AD184C">
        <w:rPr>
          <w:rFonts w:eastAsia="Times New Roman"/>
          <w:color w:val="353535"/>
          <w:szCs w:val="24"/>
          <w:lang w:val="ru-RU"/>
        </w:rPr>
        <w:t>квазинулевой</w:t>
      </w:r>
      <w:proofErr w:type="spellEnd"/>
      <w:r w:rsidR="00AD184C" w:rsidRPr="00AD184C">
        <w:rPr>
          <w:rFonts w:eastAsia="Times New Roman"/>
          <w:color w:val="353535"/>
          <w:szCs w:val="24"/>
          <w:lang w:val="ru-RU"/>
        </w:rPr>
        <w:t xml:space="preserve"> жёсткости, что позволяет им обеспечивать хороший эффект изоляции низкочастотных вибрационных волн. Однако важной проблемой, с которой сталкиваются такие структуры, является слишком малая длина хода плато </w:t>
      </w:r>
      <w:proofErr w:type="spellStart"/>
      <w:r w:rsidR="00AD184C" w:rsidRPr="00AD184C">
        <w:rPr>
          <w:rFonts w:eastAsia="Times New Roman"/>
          <w:color w:val="353535"/>
          <w:szCs w:val="24"/>
          <w:lang w:val="ru-RU"/>
        </w:rPr>
        <w:t>квазинулевой</w:t>
      </w:r>
      <w:proofErr w:type="spellEnd"/>
      <w:r w:rsidR="00AD184C" w:rsidRPr="00AD184C">
        <w:rPr>
          <w:rFonts w:eastAsia="Times New Roman"/>
          <w:color w:val="353535"/>
          <w:szCs w:val="24"/>
          <w:lang w:val="ru-RU"/>
        </w:rPr>
        <w:t xml:space="preserve"> жёсткости: когда амплитуда превышает пределы этой области, резко возрастающая динамическая жёсткость системы приводит к сильным нелинейным колебаниям, что существенно ослабляет </w:t>
      </w:r>
      <w:proofErr w:type="spellStart"/>
      <w:r w:rsidR="00AD184C" w:rsidRPr="00AD184C">
        <w:rPr>
          <w:rFonts w:eastAsia="Times New Roman"/>
          <w:color w:val="353535"/>
          <w:szCs w:val="24"/>
          <w:lang w:val="ru-RU"/>
        </w:rPr>
        <w:t>виброизоляционные</w:t>
      </w:r>
      <w:proofErr w:type="spellEnd"/>
      <w:r w:rsidR="00AD184C" w:rsidRPr="00AD184C">
        <w:rPr>
          <w:rFonts w:eastAsia="Times New Roman"/>
          <w:color w:val="353535"/>
          <w:szCs w:val="24"/>
          <w:lang w:val="ru-RU"/>
        </w:rPr>
        <w:t xml:space="preserve"> свойства.</w:t>
      </w:r>
    </w:p>
    <w:p w14:paraId="40C2885B" w14:textId="6E2F9990" w:rsidR="00934B08" w:rsidRPr="00AD184C" w:rsidRDefault="00AD184C" w:rsidP="00AD184C">
      <w:pPr>
        <w:spacing w:after="0" w:line="240" w:lineRule="auto"/>
        <w:ind w:firstLineChars="100" w:firstLine="240"/>
        <w:jc w:val="both"/>
        <w:rPr>
          <w:rFonts w:eastAsia="Times New Roman"/>
          <w:color w:val="353535"/>
          <w:szCs w:val="24"/>
          <w:lang w:val="ru-RU"/>
        </w:rPr>
      </w:pPr>
      <w:r w:rsidRPr="00AD184C">
        <w:rPr>
          <w:rFonts w:eastAsia="Times New Roman"/>
          <w:color w:val="353535"/>
          <w:szCs w:val="24"/>
          <w:lang w:val="ru-RU"/>
        </w:rPr>
        <w:t xml:space="preserve">В настоящей работе предложена оригами-подструктура, обладающая характеристикой </w:t>
      </w:r>
      <w:proofErr w:type="spellStart"/>
      <w:r w:rsidRPr="00AD184C">
        <w:rPr>
          <w:rFonts w:eastAsia="Times New Roman"/>
          <w:color w:val="353535"/>
          <w:szCs w:val="24"/>
          <w:lang w:val="ru-RU"/>
        </w:rPr>
        <w:t>квазинулевой</w:t>
      </w:r>
      <w:proofErr w:type="spellEnd"/>
      <w:r w:rsidRPr="00AD184C">
        <w:rPr>
          <w:rFonts w:eastAsia="Times New Roman"/>
          <w:color w:val="353535"/>
          <w:szCs w:val="24"/>
          <w:lang w:val="ru-RU"/>
        </w:rPr>
        <w:t xml:space="preserve"> жёсткости. С помощью метода конечных элементов в условиях больших геометрических деформаций была рассчитана кривая сила–перемещение данной структуры в процессе деформирования. Полученная кривая содержит сравнительно стабильное плато </w:t>
      </w:r>
      <w:proofErr w:type="spellStart"/>
      <w:r w:rsidRPr="00AD184C">
        <w:rPr>
          <w:rFonts w:eastAsia="Times New Roman"/>
          <w:color w:val="353535"/>
          <w:szCs w:val="24"/>
          <w:lang w:val="ru-RU"/>
        </w:rPr>
        <w:t>квазинулевой</w:t>
      </w:r>
      <w:proofErr w:type="spellEnd"/>
      <w:r w:rsidRPr="00AD184C">
        <w:rPr>
          <w:rFonts w:eastAsia="Times New Roman"/>
          <w:color w:val="353535"/>
          <w:szCs w:val="24"/>
          <w:lang w:val="ru-RU"/>
        </w:rPr>
        <w:t xml:space="preserve"> жёсткости с большой длиной хода. Для аппроксимации нелинейной восстанавливающей силы подструктуры использован кубический полином с исключением членов чётных степеней, а для анализа динамического отклика структуры применён метод гармонического баланса (</w:t>
      </w:r>
      <w:r w:rsidRPr="00AD184C">
        <w:rPr>
          <w:rFonts w:eastAsia="Times New Roman"/>
          <w:color w:val="353535"/>
          <w:szCs w:val="24"/>
        </w:rPr>
        <w:t>HBM</w:t>
      </w:r>
      <w:r w:rsidRPr="00AD184C">
        <w:rPr>
          <w:rFonts w:eastAsia="Times New Roman"/>
          <w:color w:val="353535"/>
          <w:szCs w:val="24"/>
          <w:lang w:val="ru-RU"/>
        </w:rPr>
        <w:t>). Одновременно с использованием метода конечных элементов были проведены стационарный динамический анализ и неявный динамический анализ, а теоретическая модель была верифицирована во временной и частотной областях. Результаты показывают, что предложенная оригами-подструктура обладает хорошими свойствами низкочастотной виброизоляции</w:t>
      </w:r>
      <w:r w:rsidR="006B4C45" w:rsidRPr="00513C13">
        <w:rPr>
          <w:rFonts w:eastAsia="Times New Roman"/>
          <w:color w:val="353535"/>
          <w:szCs w:val="24"/>
          <w:lang w:val="ru-RU"/>
        </w:rPr>
        <w:t>.</w:t>
      </w:r>
    </w:p>
    <w:p w14:paraId="7AA17E62" w14:textId="77777777" w:rsidR="00255189" w:rsidRPr="00BC56C6" w:rsidRDefault="00255189" w:rsidP="00FF16D4">
      <w:pPr>
        <w:spacing w:after="0" w:line="240" w:lineRule="auto"/>
        <w:jc w:val="both"/>
        <w:rPr>
          <w:rFonts w:eastAsia="Times New Roman"/>
          <w:color w:val="353535"/>
          <w:sz w:val="23"/>
          <w:szCs w:val="23"/>
          <w:lang w:val="ru-RU"/>
        </w:rPr>
      </w:pPr>
      <w:r w:rsidRPr="00BC56C6">
        <w:rPr>
          <w:rFonts w:eastAsia="Times New Roman"/>
          <w:b/>
          <w:bCs/>
          <w:color w:val="353535"/>
          <w:sz w:val="23"/>
          <w:szCs w:val="23"/>
          <w:lang w:val="ru-RU"/>
        </w:rPr>
        <w:t>Литература</w:t>
      </w:r>
    </w:p>
    <w:p w14:paraId="2FAE16CB" w14:textId="77777777" w:rsidR="0062155D" w:rsidRPr="0062155D" w:rsidRDefault="0062155D" w:rsidP="00FF16D4">
      <w:pPr>
        <w:tabs>
          <w:tab w:val="num" w:pos="720"/>
        </w:tabs>
        <w:spacing w:after="0" w:line="240" w:lineRule="auto"/>
        <w:ind w:left="757" w:hanging="360"/>
        <w:jc w:val="both"/>
        <w:rPr>
          <w:rFonts w:eastAsia="Times New Roman"/>
          <w:color w:val="353535"/>
          <w:sz w:val="23"/>
          <w:szCs w:val="23"/>
          <w:lang w:val="ru-RU"/>
        </w:rPr>
      </w:pPr>
      <w:r w:rsidRPr="0062155D">
        <w:rPr>
          <w:rFonts w:eastAsia="Times New Roman"/>
          <w:color w:val="353535"/>
          <w:sz w:val="23"/>
          <w:szCs w:val="23"/>
          <w:lang w:val="ru-RU"/>
        </w:rPr>
        <w:t>[1]</w:t>
      </w:r>
      <w:r w:rsidRPr="0062155D">
        <w:rPr>
          <w:rFonts w:eastAsia="Times New Roman"/>
          <w:color w:val="353535"/>
          <w:sz w:val="23"/>
          <w:szCs w:val="23"/>
          <w:lang w:val="ru-RU"/>
        </w:rPr>
        <w:tab/>
        <w:t xml:space="preserve">J. Liu, Y. Wang, S. Yang, T. Sun, M. Yang, and W. Niu, ‘Customized quasi-zero-stiffness metamaterials for ultra-low frequency broadband vibration isolation’, Int. J. Mech. Sci., vol. 269, p. 108958, May 2024,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doi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>: 10.1016/j.ijmecsci.2024.108958.</w:t>
      </w:r>
    </w:p>
    <w:p w14:paraId="44AD3AAB" w14:textId="77777777" w:rsidR="0062155D" w:rsidRPr="0062155D" w:rsidRDefault="0062155D" w:rsidP="00FF16D4">
      <w:pPr>
        <w:tabs>
          <w:tab w:val="num" w:pos="720"/>
        </w:tabs>
        <w:spacing w:after="0" w:line="240" w:lineRule="auto"/>
        <w:ind w:left="757" w:hanging="360"/>
        <w:jc w:val="both"/>
        <w:rPr>
          <w:rFonts w:eastAsia="Times New Roman"/>
          <w:color w:val="353535"/>
          <w:sz w:val="23"/>
          <w:szCs w:val="23"/>
          <w:lang w:val="ru-RU"/>
        </w:rPr>
      </w:pPr>
      <w:r w:rsidRPr="0062155D">
        <w:rPr>
          <w:rFonts w:eastAsia="Times New Roman"/>
          <w:color w:val="353535"/>
          <w:sz w:val="23"/>
          <w:szCs w:val="23"/>
          <w:lang w:val="ru-RU"/>
        </w:rPr>
        <w:t>[2]</w:t>
      </w:r>
      <w:r w:rsidRPr="0062155D">
        <w:rPr>
          <w:rFonts w:eastAsia="Times New Roman"/>
          <w:color w:val="353535"/>
          <w:sz w:val="23"/>
          <w:szCs w:val="23"/>
          <w:lang w:val="ru-RU"/>
        </w:rPr>
        <w:tab/>
        <w:t>L. Li et al</w:t>
      </w:r>
      <w:proofErr w:type="gramStart"/>
      <w:r w:rsidRPr="0062155D">
        <w:rPr>
          <w:rFonts w:eastAsia="Times New Roman"/>
          <w:color w:val="353535"/>
          <w:sz w:val="23"/>
          <w:szCs w:val="23"/>
          <w:lang w:val="ru-RU"/>
        </w:rPr>
        <w:t>., ‘</w:t>
      </w:r>
      <w:proofErr w:type="gramEnd"/>
      <w:r w:rsidRPr="0062155D">
        <w:rPr>
          <w:rFonts w:eastAsia="Times New Roman"/>
          <w:color w:val="353535"/>
          <w:sz w:val="23"/>
          <w:szCs w:val="23"/>
          <w:lang w:val="ru-RU"/>
        </w:rPr>
        <w:t xml:space="preserve">Design of quasi-zero-stiffness metamaterials with ultra-wideband vibration isolation performance’, Int. J. Mech. Sci., vol. 300, p. 110440, Aug. 2025,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doi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>: 10.1016/j.ijmecsci.2025.110440.</w:t>
      </w:r>
    </w:p>
    <w:p w14:paraId="44B0928E" w14:textId="77777777" w:rsidR="0062155D" w:rsidRPr="0062155D" w:rsidRDefault="0062155D" w:rsidP="00FF16D4">
      <w:pPr>
        <w:tabs>
          <w:tab w:val="num" w:pos="720"/>
        </w:tabs>
        <w:spacing w:after="0" w:line="240" w:lineRule="auto"/>
        <w:ind w:left="757" w:hanging="360"/>
        <w:jc w:val="both"/>
        <w:rPr>
          <w:rFonts w:eastAsia="Times New Roman"/>
          <w:color w:val="353535"/>
          <w:sz w:val="23"/>
          <w:szCs w:val="23"/>
          <w:lang w:val="ru-RU"/>
        </w:rPr>
      </w:pPr>
      <w:r w:rsidRPr="0062155D">
        <w:rPr>
          <w:rFonts w:eastAsia="Times New Roman"/>
          <w:color w:val="353535"/>
          <w:sz w:val="23"/>
          <w:szCs w:val="23"/>
          <w:lang w:val="ru-RU"/>
        </w:rPr>
        <w:t>[3]</w:t>
      </w:r>
      <w:r w:rsidRPr="0062155D">
        <w:rPr>
          <w:rFonts w:eastAsia="Times New Roman"/>
          <w:color w:val="353535"/>
          <w:sz w:val="23"/>
          <w:szCs w:val="23"/>
          <w:lang w:val="ru-RU"/>
        </w:rPr>
        <w:tab/>
        <w:t xml:space="preserve">C. Hu, Z. Wan, Z. Li, X. Tan, L. Wang, and M. Chen, ‘Inverse-designed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metastructures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 xml:space="preserve"> with customizable low dynamic stiffness characteristics for low-frequency vibration isolation’, Eur. J. Mech. -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ASolids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 xml:space="preserve">, vol. 110, p. 105515, Mar. 2025,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doi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>: 10.1016/j.euromechsol.2024.105515.</w:t>
      </w:r>
    </w:p>
    <w:p w14:paraId="44F322A9" w14:textId="77777777" w:rsidR="0062155D" w:rsidRPr="0062155D" w:rsidRDefault="0062155D" w:rsidP="00FF16D4">
      <w:pPr>
        <w:tabs>
          <w:tab w:val="num" w:pos="720"/>
        </w:tabs>
        <w:spacing w:after="0" w:line="240" w:lineRule="auto"/>
        <w:ind w:left="757" w:hanging="360"/>
        <w:jc w:val="both"/>
        <w:rPr>
          <w:rFonts w:eastAsia="Times New Roman"/>
          <w:color w:val="353535"/>
          <w:sz w:val="23"/>
          <w:szCs w:val="23"/>
          <w:lang w:val="ru-RU"/>
        </w:rPr>
      </w:pPr>
      <w:r w:rsidRPr="0062155D">
        <w:rPr>
          <w:rFonts w:eastAsia="Times New Roman"/>
          <w:color w:val="353535"/>
          <w:sz w:val="23"/>
          <w:szCs w:val="23"/>
          <w:lang w:val="ru-RU"/>
        </w:rPr>
        <w:t>[4]</w:t>
      </w:r>
      <w:r w:rsidRPr="0062155D">
        <w:rPr>
          <w:rFonts w:eastAsia="Times New Roman"/>
          <w:color w:val="353535"/>
          <w:sz w:val="23"/>
          <w:szCs w:val="23"/>
          <w:lang w:val="ru-RU"/>
        </w:rPr>
        <w:tab/>
        <w:t xml:space="preserve">Y. Chen, M.-Q. Niu, Y. Fan, and L.-Q. </w:t>
      </w:r>
      <w:proofErr w:type="gramStart"/>
      <w:r w:rsidRPr="0062155D">
        <w:rPr>
          <w:rFonts w:eastAsia="Times New Roman"/>
          <w:color w:val="353535"/>
          <w:sz w:val="23"/>
          <w:szCs w:val="23"/>
          <w:lang w:val="ru-RU"/>
        </w:rPr>
        <w:t>Chen, ‘</w:t>
      </w:r>
      <w:proofErr w:type="gramEnd"/>
      <w:r w:rsidRPr="0062155D">
        <w:rPr>
          <w:rFonts w:eastAsia="Times New Roman"/>
          <w:color w:val="353535"/>
          <w:sz w:val="23"/>
          <w:szCs w:val="23"/>
          <w:lang w:val="ru-RU"/>
        </w:rPr>
        <w:t xml:space="preserve">Quasi-zero-stiffness vibration isolation via a double-layer compliant mechanism’, Int. J. Mech. Sci., vol. 304, p. 110670, Oct. 2025,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doi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>: 10.1016/j.ijmecsci.2025.110670.</w:t>
      </w:r>
    </w:p>
    <w:p w14:paraId="3E857567" w14:textId="77777777" w:rsidR="0062155D" w:rsidRPr="0062155D" w:rsidRDefault="0062155D" w:rsidP="00FF16D4">
      <w:pPr>
        <w:tabs>
          <w:tab w:val="num" w:pos="720"/>
        </w:tabs>
        <w:spacing w:after="0" w:line="240" w:lineRule="auto"/>
        <w:ind w:left="757" w:hanging="360"/>
        <w:jc w:val="both"/>
        <w:rPr>
          <w:rFonts w:eastAsia="Times New Roman"/>
          <w:color w:val="353535"/>
          <w:sz w:val="23"/>
          <w:szCs w:val="23"/>
          <w:lang w:val="ru-RU"/>
        </w:rPr>
      </w:pPr>
      <w:r w:rsidRPr="0062155D">
        <w:rPr>
          <w:rFonts w:eastAsia="Times New Roman"/>
          <w:color w:val="353535"/>
          <w:sz w:val="23"/>
          <w:szCs w:val="23"/>
          <w:lang w:val="ru-RU"/>
        </w:rPr>
        <w:t>[5]</w:t>
      </w:r>
      <w:r w:rsidRPr="0062155D">
        <w:rPr>
          <w:rFonts w:eastAsia="Times New Roman"/>
          <w:color w:val="353535"/>
          <w:sz w:val="23"/>
          <w:szCs w:val="23"/>
          <w:lang w:val="ru-RU"/>
        </w:rPr>
        <w:tab/>
        <w:t xml:space="preserve">S. Rui, S. Yang, P. Zheng, X. Wang, B. Han, and F. Ma, ‘Self-contacting overlay complementary multi-level multi-stable quasi-zero stiffness vibration isolation device’, Mech. Syst. Signal Process., vol. 226, p. 112340, Mar. 2025, </w:t>
      </w:r>
      <w:proofErr w:type="spellStart"/>
      <w:r w:rsidRPr="0062155D">
        <w:rPr>
          <w:rFonts w:eastAsia="Times New Roman"/>
          <w:color w:val="353535"/>
          <w:sz w:val="23"/>
          <w:szCs w:val="23"/>
          <w:lang w:val="ru-RU"/>
        </w:rPr>
        <w:t>doi</w:t>
      </w:r>
      <w:proofErr w:type="spellEnd"/>
      <w:r w:rsidRPr="0062155D">
        <w:rPr>
          <w:rFonts w:eastAsia="Times New Roman"/>
          <w:color w:val="353535"/>
          <w:sz w:val="23"/>
          <w:szCs w:val="23"/>
          <w:lang w:val="ru-RU"/>
        </w:rPr>
        <w:t>: 10.1016/j.ymssp.2025.112340.</w:t>
      </w:r>
    </w:p>
    <w:p w14:paraId="763749DF" w14:textId="05732D2D" w:rsidR="00255189" w:rsidRPr="0062155D" w:rsidRDefault="00255189" w:rsidP="00FF16D4">
      <w:pPr>
        <w:spacing w:after="0" w:line="240" w:lineRule="auto"/>
        <w:jc w:val="both"/>
        <w:rPr>
          <w:rFonts w:eastAsia="宋体" w:hint="eastAsia"/>
          <w:b/>
          <w:bCs/>
          <w:color w:val="353535"/>
          <w:sz w:val="23"/>
          <w:szCs w:val="23"/>
          <w:lang w:val="ru-RU" w:eastAsia="zh-CN"/>
        </w:rPr>
      </w:pPr>
    </w:p>
    <w:sectPr w:rsidR="00255189" w:rsidRPr="0062155D" w:rsidSect="00445EF0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4170" w14:textId="77777777" w:rsidR="002F7820" w:rsidRDefault="002F7820" w:rsidP="00255189">
      <w:pPr>
        <w:spacing w:after="0" w:line="240" w:lineRule="auto"/>
      </w:pPr>
      <w:r>
        <w:separator/>
      </w:r>
    </w:p>
  </w:endnote>
  <w:endnote w:type="continuationSeparator" w:id="0">
    <w:p w14:paraId="71DE6509" w14:textId="77777777" w:rsidR="002F7820" w:rsidRDefault="002F7820" w:rsidP="0025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B4AB" w14:textId="77777777" w:rsidR="002F7820" w:rsidRDefault="002F7820" w:rsidP="00255189">
      <w:pPr>
        <w:spacing w:after="0" w:line="240" w:lineRule="auto"/>
      </w:pPr>
      <w:r>
        <w:separator/>
      </w:r>
    </w:p>
  </w:footnote>
  <w:footnote w:type="continuationSeparator" w:id="0">
    <w:p w14:paraId="3209239B" w14:textId="77777777" w:rsidR="002F7820" w:rsidRDefault="002F7820" w:rsidP="00255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296255">
    <w:abstractNumId w:val="8"/>
  </w:num>
  <w:num w:numId="2" w16cid:durableId="244069558">
    <w:abstractNumId w:val="6"/>
  </w:num>
  <w:num w:numId="3" w16cid:durableId="58211466">
    <w:abstractNumId w:val="5"/>
  </w:num>
  <w:num w:numId="4" w16cid:durableId="602959383">
    <w:abstractNumId w:val="4"/>
  </w:num>
  <w:num w:numId="5" w16cid:durableId="1006203142">
    <w:abstractNumId w:val="7"/>
  </w:num>
  <w:num w:numId="6" w16cid:durableId="1874150910">
    <w:abstractNumId w:val="3"/>
  </w:num>
  <w:num w:numId="7" w16cid:durableId="1025133697">
    <w:abstractNumId w:val="2"/>
  </w:num>
  <w:num w:numId="8" w16cid:durableId="1406873029">
    <w:abstractNumId w:val="1"/>
  </w:num>
  <w:num w:numId="9" w16cid:durableId="2096824350">
    <w:abstractNumId w:val="0"/>
  </w:num>
  <w:num w:numId="10" w16cid:durableId="88963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8CC"/>
    <w:rsid w:val="001119EA"/>
    <w:rsid w:val="00142B7B"/>
    <w:rsid w:val="0015074B"/>
    <w:rsid w:val="00255189"/>
    <w:rsid w:val="0029639D"/>
    <w:rsid w:val="002F7820"/>
    <w:rsid w:val="00326F90"/>
    <w:rsid w:val="003372BC"/>
    <w:rsid w:val="00445EF0"/>
    <w:rsid w:val="004F7ACA"/>
    <w:rsid w:val="00513C13"/>
    <w:rsid w:val="00514DBA"/>
    <w:rsid w:val="00526495"/>
    <w:rsid w:val="005C64A5"/>
    <w:rsid w:val="0062155D"/>
    <w:rsid w:val="006B4C45"/>
    <w:rsid w:val="00811366"/>
    <w:rsid w:val="00934B08"/>
    <w:rsid w:val="00960B68"/>
    <w:rsid w:val="00AA1D8D"/>
    <w:rsid w:val="00AD184C"/>
    <w:rsid w:val="00B47730"/>
    <w:rsid w:val="00BC56C6"/>
    <w:rsid w:val="00C1336C"/>
    <w:rsid w:val="00CB0664"/>
    <w:rsid w:val="00D42F0C"/>
    <w:rsid w:val="00F309D3"/>
    <w:rsid w:val="00FC693F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B4479"/>
  <w14:defaultImageDpi w14:val="300"/>
  <w15:docId w15:val="{7191173B-63D7-4F16-BA21-DAC98FB9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Bibliography"/>
    <w:basedOn w:val="a1"/>
    <w:next w:val="a1"/>
    <w:uiPriority w:val="37"/>
    <w:unhideWhenUsed/>
    <w:rsid w:val="00BC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1565</Words>
  <Characters>1660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子勋 林</cp:lastModifiedBy>
  <cp:revision>20</cp:revision>
  <dcterms:created xsi:type="dcterms:W3CDTF">2013-12-23T23:15:00Z</dcterms:created>
  <dcterms:modified xsi:type="dcterms:W3CDTF">2026-04-03T10:59:00Z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id="kBmVI7SI"/&gt;&lt;style id="http://www.zotero.org/styles/ieee" locale="zh-CN"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