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225E8">
      <w:pPr>
        <w:widowControl w:val="0"/>
        <w:spacing w:line="240" w:lineRule="auto"/>
        <w:ind w:right="-20"/>
        <w:jc w:val="center"/>
        <w:rPr>
          <w:rFonts w:ascii="Times New Roman" w:hAnsi="Times New Roman" w:eastAsia="Times New Roman" w:cs="Times New Roman"/>
          <w:b/>
          <w:bCs/>
          <w:iCs/>
          <w:color w:val="000000"/>
          <w:sz w:val="24"/>
          <w:szCs w:val="24"/>
          <w:lang w:val="en-US"/>
        </w:rPr>
      </w:pPr>
      <w:bookmarkStart w:id="2" w:name="_GoBack"/>
      <w:bookmarkEnd w:id="2"/>
      <w:r>
        <w:rPr>
          <w:rFonts w:ascii="Times New Roman" w:hAnsi="Times New Roman" w:eastAsia="Times New Roman" w:cs="Times New Roman"/>
          <w:b/>
          <w:bCs/>
          <w:iCs/>
          <w:color w:val="000000"/>
          <w:sz w:val="24"/>
          <w:szCs w:val="24"/>
          <w:lang w:val="en-US"/>
        </w:rPr>
        <w:t xml:space="preserve">The microbiome of the </w:t>
      </w:r>
      <w:r>
        <w:rPr>
          <w:rFonts w:ascii="Times New Roman" w:hAnsi="Times New Roman" w:eastAsia="Times New Roman" w:cs="Times New Roman"/>
          <w:b/>
          <w:bCs/>
          <w:i/>
          <w:color w:val="000000"/>
          <w:sz w:val="24"/>
          <w:szCs w:val="24"/>
          <w:lang w:val="en-US"/>
        </w:rPr>
        <w:t>Paramecium</w:t>
      </w:r>
      <w:r>
        <w:rPr>
          <w:rFonts w:hint="eastAsia" w:ascii="Times New Roman" w:hAnsi="Times New Roman" w:eastAsia="宋体" w:cs="Times New Roman"/>
          <w:b/>
          <w:bCs/>
          <w:i/>
          <w:color w:val="000000"/>
          <w:sz w:val="24"/>
          <w:szCs w:val="24"/>
          <w:lang w:val="en-US" w:eastAsia="zh-CN"/>
        </w:rPr>
        <w:t xml:space="preserve"> </w:t>
      </w:r>
      <w:r>
        <w:rPr>
          <w:rFonts w:ascii="Times New Roman" w:hAnsi="Times New Roman" w:eastAsia="Times New Roman" w:cs="Times New Roman"/>
          <w:b/>
          <w:bCs/>
          <w:i/>
          <w:color w:val="000000"/>
          <w:sz w:val="24"/>
          <w:szCs w:val="24"/>
          <w:lang w:val="en-US"/>
        </w:rPr>
        <w:t>multimicronucleatum</w:t>
      </w:r>
      <w:r>
        <w:rPr>
          <w:rFonts w:ascii="Times New Roman" w:hAnsi="Times New Roman" w:eastAsia="Times New Roman" w:cs="Times New Roman"/>
          <w:b/>
          <w:bCs/>
          <w:iCs/>
          <w:color w:val="000000"/>
          <w:sz w:val="24"/>
          <w:szCs w:val="24"/>
          <w:lang w:val="en-US"/>
        </w:rPr>
        <w:t xml:space="preserve"> strain</w:t>
      </w:r>
    </w:p>
    <w:p w14:paraId="0EB4FA12">
      <w:pPr>
        <w:widowControl w:val="0"/>
        <w:spacing w:line="240" w:lineRule="auto"/>
        <w:ind w:right="-20"/>
        <w:jc w:val="center"/>
        <w:rPr>
          <w:rFonts w:ascii="Times New Roman" w:hAnsi="Times New Roman" w:eastAsia="宋体" w:cs="Times New Roman"/>
          <w:b/>
          <w:bCs/>
          <w:i/>
          <w:color w:val="000000"/>
          <w:sz w:val="24"/>
          <w:szCs w:val="24"/>
          <w:lang w:val="en-US" w:eastAsia="zh-CN"/>
        </w:rPr>
      </w:pPr>
      <w:r>
        <w:rPr>
          <w:rFonts w:hint="eastAsia" w:ascii="Times New Roman" w:hAnsi="Times New Roman" w:eastAsia="宋体" w:cs="Times New Roman"/>
          <w:b/>
          <w:bCs/>
          <w:i/>
          <w:color w:val="000000"/>
          <w:sz w:val="24"/>
          <w:szCs w:val="24"/>
          <w:lang w:val="en-US" w:eastAsia="zh-CN"/>
        </w:rPr>
        <w:t>Zhou Yuxian</w:t>
      </w:r>
    </w:p>
    <w:p w14:paraId="4FEA2E46">
      <w:pPr>
        <w:widowControl w:val="0"/>
        <w:spacing w:line="240" w:lineRule="auto"/>
        <w:ind w:right="-20"/>
        <w:jc w:val="center"/>
        <w:rPr>
          <w:rFonts w:ascii="Times New Roman" w:hAnsi="Times New Roman" w:eastAsia="宋体" w:cs="Times New Roman"/>
          <w:i/>
          <w:color w:val="000000"/>
          <w:sz w:val="24"/>
          <w:szCs w:val="24"/>
          <w:lang w:val="en-US" w:eastAsia="zh-CN"/>
        </w:rPr>
      </w:pPr>
      <w:r>
        <w:rPr>
          <w:rFonts w:hint="eastAsia" w:ascii="Times New Roman" w:hAnsi="Times New Roman" w:eastAsia="宋体" w:cs="Times New Roman"/>
          <w:i/>
          <w:color w:val="000000"/>
          <w:sz w:val="24"/>
          <w:szCs w:val="24"/>
          <w:lang w:val="en-US" w:eastAsia="zh-CN"/>
        </w:rPr>
        <w:t>Student</w:t>
      </w:r>
    </w:p>
    <w:p w14:paraId="65FE13EF">
      <w:pPr>
        <w:spacing w:line="240" w:lineRule="auto"/>
        <w:jc w:val="center"/>
        <w:rPr>
          <w:rFonts w:ascii="Times New Roman" w:hAnsi="Times New Roman" w:eastAsia="宋体" w:cs="Times New Roman"/>
          <w:i/>
          <w:iCs/>
          <w:color w:val="000000"/>
          <w:lang w:val="en-US" w:eastAsia="zh-CN"/>
        </w:rPr>
      </w:pPr>
      <w:r>
        <w:rPr>
          <w:rFonts w:hint="eastAsia" w:ascii="Times New Roman" w:hAnsi="Times New Roman" w:eastAsia="宋体" w:cs="Times New Roman"/>
          <w:i/>
          <w:iCs/>
          <w:color w:val="000000"/>
          <w:lang w:val="en-US" w:eastAsia="zh-CN"/>
        </w:rPr>
        <w:t>Shenzhen MSU-BIT</w:t>
      </w:r>
      <w:r>
        <w:rPr>
          <w:rFonts w:ascii="Times New Roman" w:hAnsi="Times New Roman" w:eastAsia="Times New Roman" w:cs="Times New Roman"/>
          <w:i/>
          <w:iCs/>
          <w:color w:val="000000"/>
          <w:lang w:val="en-US"/>
        </w:rPr>
        <w:t xml:space="preserve"> University</w:t>
      </w:r>
      <w:r>
        <w:rPr>
          <w:rFonts w:ascii="Times New Roman" w:hAnsi="Times New Roman" w:eastAsia="Times New Roman" w:cs="Times New Roman"/>
          <w:i/>
          <w:iCs/>
          <w:color w:val="000000"/>
          <w:lang w:val="en-US"/>
        </w:rPr>
        <w:br w:type="textWrapping"/>
      </w:r>
      <w:r>
        <w:rPr>
          <w:rFonts w:ascii="Times New Roman" w:hAnsi="Times New Roman" w:eastAsia="宋体" w:cs="Times New Roman"/>
          <w:i/>
          <w:iCs/>
          <w:color w:val="000000"/>
          <w:lang w:val="en-US" w:eastAsia="zh-CN"/>
        </w:rPr>
        <w:t>Faculty of Biology</w:t>
      </w:r>
      <w:r>
        <w:rPr>
          <w:rFonts w:ascii="Times New Roman" w:hAnsi="Times New Roman" w:eastAsia="Times New Roman" w:cs="Times New Roman"/>
          <w:i/>
          <w:iCs/>
          <w:color w:val="000000"/>
          <w:lang w:val="en-US"/>
        </w:rPr>
        <w:t xml:space="preserve">, </w:t>
      </w:r>
      <w:r>
        <w:rPr>
          <w:rFonts w:hint="eastAsia" w:ascii="Times New Roman" w:hAnsi="Times New Roman" w:eastAsia="宋体" w:cs="Times New Roman"/>
          <w:i/>
          <w:iCs/>
          <w:color w:val="000000"/>
          <w:lang w:val="en-US" w:eastAsia="zh-CN"/>
        </w:rPr>
        <w:t>Shenzhen</w:t>
      </w:r>
      <w:r>
        <w:rPr>
          <w:rFonts w:ascii="Times New Roman" w:hAnsi="Times New Roman" w:eastAsia="Times New Roman" w:cs="Times New Roman"/>
          <w:i/>
          <w:iCs/>
          <w:color w:val="000000"/>
          <w:lang w:val="en-US"/>
        </w:rPr>
        <w:t xml:space="preserve">, </w:t>
      </w:r>
      <w:r>
        <w:rPr>
          <w:rFonts w:hint="eastAsia" w:ascii="Times New Roman" w:hAnsi="Times New Roman" w:eastAsia="宋体" w:cs="Times New Roman"/>
          <w:i/>
          <w:iCs/>
          <w:color w:val="000000"/>
          <w:lang w:val="en-US" w:eastAsia="zh-CN"/>
        </w:rPr>
        <w:t>China</w:t>
      </w:r>
    </w:p>
    <w:p w14:paraId="5F4FB63A">
      <w:pPr>
        <w:spacing w:line="240" w:lineRule="auto"/>
        <w:jc w:val="center"/>
        <w:rPr>
          <w:rFonts w:ascii="Times New Roman" w:hAnsi="Times New Roman" w:eastAsia="宋体" w:cs="Times New Roman"/>
          <w:sz w:val="24"/>
          <w:szCs w:val="24"/>
          <w:lang w:val="en-US" w:eastAsia="zh-CN"/>
        </w:rPr>
      </w:pPr>
      <w:r>
        <w:rPr>
          <w:rFonts w:ascii="Times New Roman" w:hAnsi="Times New Roman" w:eastAsia="Times New Roman" w:cs="Times New Roman"/>
          <w:i/>
          <w:iCs/>
          <w:color w:val="000000"/>
          <w:lang w:val="en-US"/>
        </w:rPr>
        <w:t>E–mail</w:t>
      </w:r>
      <w:r>
        <w:rPr>
          <w:rFonts w:ascii="Times New Roman" w:hAnsi="Times New Roman" w:eastAsia="Times New Roman" w:cs="Times New Roman"/>
          <w:i/>
          <w:iCs/>
          <w:color w:val="000000" w:themeColor="text1"/>
          <w:lang w:val="en-US"/>
          <w14:textFill>
            <w14:solidFill>
              <w14:schemeClr w14:val="tx1"/>
            </w14:solidFill>
          </w14:textFill>
        </w:rPr>
        <w:t>: </w:t>
      </w:r>
      <w:r>
        <w:rPr>
          <w:rFonts w:hint="eastAsia" w:ascii="Times New Roman" w:hAnsi="Times New Roman" w:eastAsia="宋体" w:cs="Times New Roman"/>
          <w:i/>
          <w:iCs/>
          <w:color w:val="000000" w:themeColor="text1"/>
          <w:lang w:val="en-US" w:eastAsia="zh-CN"/>
          <w14:textFill>
            <w14:solidFill>
              <w14:schemeClr w14:val="tx1"/>
            </w14:solidFill>
          </w14:textFill>
        </w:rPr>
        <w:t>yuxian0512@163.com</w:t>
      </w:r>
    </w:p>
    <w:p w14:paraId="100EB952">
      <w:pPr>
        <w:spacing w:line="240" w:lineRule="auto"/>
        <w:ind w:firstLine="397"/>
        <w:jc w:val="both"/>
        <w:rPr>
          <w:rFonts w:ascii="Times New Roman" w:hAnsi="Times New Roman" w:eastAsia="宋体" w:cs="Times New Roman"/>
          <w:sz w:val="24"/>
          <w:szCs w:val="24"/>
          <w:lang w:val="en-US" w:eastAsia="zh-CN"/>
        </w:rPr>
      </w:pPr>
      <w:r>
        <w:rPr>
          <w:rFonts w:ascii="Times New Roman" w:hAnsi="Times New Roman" w:eastAsia="宋体" w:cs="Times New Roman"/>
          <w:sz w:val="24"/>
          <w:szCs w:val="24"/>
          <w:lang w:val="en-US" w:eastAsia="zh-CN"/>
        </w:rPr>
        <w:t xml:space="preserve">Ciliates are widely distributed bacterivorous protozoa that play a key role in the aquatic food webs and support ecosystem stability [1]. </w:t>
      </w:r>
      <w:r>
        <w:rPr>
          <w:rFonts w:ascii="Times New Roman" w:hAnsi="Times New Roman" w:eastAsia="宋体" w:cs="Times New Roman"/>
          <w:i/>
          <w:iCs/>
          <w:sz w:val="24"/>
          <w:szCs w:val="24"/>
          <w:lang w:val="en-US" w:eastAsia="zh-CN"/>
        </w:rPr>
        <w:t>Paramecium</w:t>
      </w:r>
      <w:r>
        <w:rPr>
          <w:rFonts w:ascii="Times New Roman" w:hAnsi="Times New Roman" w:eastAsia="宋体" w:cs="Times New Roman"/>
          <w:sz w:val="24"/>
          <w:szCs w:val="24"/>
          <w:lang w:val="en-US" w:eastAsia="zh-CN"/>
        </w:rPr>
        <w:t xml:space="preserve"> is a typical ciliate used as popular model in cell biology and ecotoxicology. The ciliate maintains symbiotic relationships with environmental bacteria, forming a close host–symbiont system </w:t>
      </w:r>
      <w:r>
        <w:rPr>
          <w:rFonts w:ascii="Times New Roman" w:hAnsi="Times New Roman" w:eastAsia="宋体" w:cs="Times New Roman"/>
          <w:sz w:val="24"/>
          <w:szCs w:val="24"/>
          <w:lang w:val="en-US"/>
        </w:rPr>
        <w:t>[2, 3]</w:t>
      </w:r>
      <w:r>
        <w:rPr>
          <w:rFonts w:ascii="Times New Roman" w:hAnsi="Times New Roman" w:eastAsia="宋体" w:cs="Times New Roman"/>
          <w:sz w:val="24"/>
          <w:szCs w:val="24"/>
          <w:lang w:val="en-US" w:eastAsia="zh-CN"/>
        </w:rPr>
        <w:t xml:space="preserve">. However, most studies focus on laboratory model strains, whereas non-model species such as </w:t>
      </w:r>
      <w:r>
        <w:rPr>
          <w:rFonts w:ascii="Times New Roman" w:hAnsi="Times New Roman" w:eastAsia="宋体" w:cs="Times New Roman"/>
          <w:i/>
          <w:iCs/>
          <w:sz w:val="24"/>
          <w:szCs w:val="24"/>
          <w:lang w:val="en-US" w:eastAsia="zh-CN"/>
        </w:rPr>
        <w:t>Paramecium multimicronucleatum</w:t>
      </w:r>
      <w:r>
        <w:rPr>
          <w:rFonts w:ascii="Times New Roman" w:hAnsi="Times New Roman" w:eastAsia="宋体" w:cs="Times New Roman"/>
          <w:sz w:val="24"/>
          <w:szCs w:val="24"/>
          <w:lang w:val="en-US" w:eastAsia="zh-CN"/>
        </w:rPr>
        <w:t xml:space="preserve"> have been understudied that limit understanding of ciliate–bacterial interactions. </w:t>
      </w:r>
    </w:p>
    <w:p w14:paraId="1FE847FF">
      <w:pPr>
        <w:spacing w:line="240" w:lineRule="auto"/>
        <w:ind w:firstLine="397"/>
        <w:jc w:val="both"/>
        <w:rPr>
          <w:rFonts w:ascii="Times New Roman" w:hAnsi="Times New Roman" w:eastAsia="宋体" w:cs="Times New Roman"/>
          <w:sz w:val="24"/>
          <w:szCs w:val="24"/>
          <w:lang w:val="en-US" w:eastAsia="zh-CN"/>
        </w:rPr>
      </w:pPr>
      <w:r>
        <w:rPr>
          <w:rFonts w:ascii="Times New Roman" w:hAnsi="Times New Roman" w:eastAsia="宋体" w:cs="Times New Roman"/>
          <w:sz w:val="24"/>
          <w:szCs w:val="24"/>
          <w:lang w:val="en-US" w:eastAsia="zh-CN"/>
        </w:rPr>
        <w:t xml:space="preserve">This study is aimed at the variability of morphometric sizes and composition of the associated prokaryotic community. For this we performed measurement of living cells to clarify the morphometric characteristics of the </w:t>
      </w:r>
      <w:r>
        <w:rPr>
          <w:rFonts w:ascii="Times New Roman" w:hAnsi="Times New Roman" w:eastAsia="宋体" w:cs="Times New Roman"/>
          <w:i/>
          <w:iCs/>
          <w:sz w:val="24"/>
          <w:szCs w:val="24"/>
          <w:lang w:val="en-US" w:eastAsia="zh-CN"/>
        </w:rPr>
        <w:t>P. multimicronucleatum</w:t>
      </w:r>
      <w:r>
        <w:rPr>
          <w:rFonts w:ascii="Times New Roman" w:hAnsi="Times New Roman" w:eastAsia="宋体" w:cs="Times New Roman"/>
          <w:sz w:val="24"/>
          <w:szCs w:val="24"/>
          <w:lang w:val="en-US" w:eastAsia="zh-CN"/>
        </w:rPr>
        <w:t xml:space="preserve"> strain. Single-cell high-throughput 16S rRNA gene sequencing was used to evaluate the composition, diversity, and structure of the associated bacterial community, and the core microbiome was identified via bioinformatic methods.</w:t>
      </w:r>
    </w:p>
    <w:p w14:paraId="2D1EC6DF">
      <w:pPr>
        <w:spacing w:line="240" w:lineRule="auto"/>
        <w:ind w:firstLine="397"/>
        <w:jc w:val="both"/>
        <w:rPr>
          <w:rFonts w:ascii="Times New Roman" w:hAnsi="Times New Roman" w:eastAsia="宋体" w:cs="Times New Roman"/>
          <w:sz w:val="24"/>
          <w:szCs w:val="24"/>
          <w:lang w:val="en-US" w:eastAsia="zh-CN"/>
        </w:rPr>
      </w:pPr>
      <w:r>
        <w:rPr>
          <w:rFonts w:ascii="Times New Roman" w:hAnsi="Times New Roman" w:eastAsia="宋体" w:cs="Times New Roman"/>
          <w:sz w:val="24"/>
          <w:szCs w:val="24"/>
          <w:lang w:val="en-US" w:eastAsia="zh-CN"/>
        </w:rPr>
        <w:t xml:space="preserve">The morphometric features of the studied strain are in good agreement with the data previously published [4] and provide accurate species identification. Significant differences were found between the host-associated bacterial community and the environmental control. The host exhibited strong selective enrichment of specific bacterial groups, indicating that the associated bacterial community was not randomly assembled. This study supplements known data on morphology and symbiotic relationship of </w:t>
      </w:r>
      <w:r>
        <w:rPr>
          <w:rFonts w:ascii="Times New Roman" w:hAnsi="Times New Roman" w:eastAsia="宋体" w:cs="Times New Roman"/>
          <w:i/>
          <w:iCs/>
          <w:sz w:val="24"/>
          <w:szCs w:val="24"/>
          <w:lang w:val="en-US" w:eastAsia="zh-CN"/>
        </w:rPr>
        <w:t>P. multimicronucleatum</w:t>
      </w:r>
      <w:r>
        <w:rPr>
          <w:rFonts w:ascii="Times New Roman" w:hAnsi="Times New Roman" w:eastAsia="宋体" w:cs="Times New Roman"/>
          <w:sz w:val="24"/>
          <w:szCs w:val="24"/>
          <w:lang w:val="en-US" w:eastAsia="zh-CN"/>
        </w:rPr>
        <w:t xml:space="preserve"> with new findings, and provide a background for further study of host–symbiont relationships between ciliates and bacteria.</w:t>
      </w:r>
    </w:p>
    <w:p w14:paraId="6CA6F6F0">
      <w:pPr>
        <w:spacing w:line="240" w:lineRule="auto"/>
        <w:ind w:firstLine="397"/>
        <w:jc w:val="both"/>
        <w:rPr>
          <w:rFonts w:ascii="Times New Roman" w:hAnsi="Times New Roman" w:eastAsia="宋体" w:cs="Times New Roman"/>
          <w:sz w:val="24"/>
          <w:szCs w:val="24"/>
          <w:lang w:val="en-US" w:eastAsia="zh-CN"/>
        </w:rPr>
      </w:pPr>
      <w:r>
        <w:rPr>
          <w:rFonts w:ascii="Times New Roman" w:hAnsi="Times New Roman" w:eastAsia="宋体" w:cs="Times New Roman"/>
          <w:sz w:val="24"/>
          <w:szCs w:val="24"/>
          <w:lang w:val="en-US" w:eastAsia="zh-CN"/>
        </w:rPr>
        <w:t>The author is deeply grateful to the scientific supervisor A.O. Plotnikov, MD, PhD, and A.S. Esaulov, PhD, for their support and valuable advice.</w:t>
      </w:r>
    </w:p>
    <w:p w14:paraId="10C02C8F">
      <w:pPr>
        <w:spacing w:line="240" w:lineRule="auto"/>
        <w:jc w:val="both"/>
        <w:rPr>
          <w:rFonts w:ascii="Times New Roman" w:hAnsi="Times New Roman" w:eastAsia="宋体" w:cs="Times New Roman"/>
          <w:sz w:val="24"/>
          <w:szCs w:val="24"/>
          <w:lang w:val="en-US" w:eastAsia="zh-CN"/>
        </w:rPr>
      </w:pPr>
      <w:r>
        <w:rPr>
          <w:rFonts w:ascii="Times New Roman" w:hAnsi="Times New Roman" w:eastAsia="Times New Roman" w:cs="Times New Roman"/>
          <w:b/>
          <w:bCs/>
          <w:color w:val="000000"/>
          <w:lang w:val="en-US"/>
        </w:rPr>
        <w:t>References</w:t>
      </w:r>
    </w:p>
    <w:p w14:paraId="377A31BB">
      <w:pPr>
        <w:pStyle w:val="4"/>
        <w:widowControl w:val="0"/>
        <w:numPr>
          <w:ilvl w:val="0"/>
          <w:numId w:val="1"/>
        </w:numPr>
        <w:spacing w:line="240" w:lineRule="auto"/>
        <w:ind w:left="0" w:right="-23"/>
        <w:rPr>
          <w:rFonts w:ascii="Times New Roman" w:hAnsi="Times New Roman" w:eastAsia="宋体" w:cs="Times New Roman"/>
          <w:sz w:val="24"/>
          <w:szCs w:val="24"/>
          <w:lang w:val="de-DE" w:eastAsia="zh-CN"/>
        </w:rPr>
      </w:pPr>
      <w:bookmarkStart w:id="0" w:name="_Ref20033"/>
      <w:r>
        <w:rPr>
          <w:rFonts w:ascii="Times New Roman" w:hAnsi="Times New Roman" w:eastAsia="宋体" w:cs="Times New Roman"/>
          <w:sz w:val="24"/>
          <w:szCs w:val="24"/>
          <w:lang w:val="en-US"/>
        </w:rPr>
        <w:t xml:space="preserve">Landis W.G. </w:t>
      </w:r>
      <w:r>
        <w:rPr>
          <w:rFonts w:ascii="Times New Roman" w:hAnsi="Times New Roman" w:eastAsia="宋体" w:cs="Times New Roman"/>
          <w:i/>
          <w:iCs/>
          <w:sz w:val="24"/>
          <w:szCs w:val="24"/>
          <w:lang w:val="en-US"/>
        </w:rPr>
        <w:t>Ecology</w:t>
      </w:r>
      <w:r>
        <w:rPr>
          <w:rFonts w:ascii="Times New Roman" w:hAnsi="Times New Roman" w:eastAsia="宋体" w:cs="Times New Roman"/>
          <w:sz w:val="24"/>
          <w:szCs w:val="24"/>
          <w:lang w:val="en-US"/>
        </w:rPr>
        <w:t xml:space="preserve">. In: </w:t>
      </w:r>
      <w:r>
        <w:rPr>
          <w:rFonts w:ascii="Times New Roman" w:hAnsi="Times New Roman" w:eastAsia="宋体" w:cs="Times New Roman"/>
          <w:i/>
          <w:iCs/>
          <w:sz w:val="24"/>
          <w:szCs w:val="24"/>
          <w:lang w:val="en-US"/>
        </w:rPr>
        <w:t>Paramecium</w:t>
      </w:r>
      <w:r>
        <w:rPr>
          <w:rFonts w:ascii="Times New Roman" w:hAnsi="Times New Roman" w:eastAsia="宋体" w:cs="Times New Roman"/>
          <w:sz w:val="24"/>
          <w:szCs w:val="24"/>
          <w:lang w:val="en-US"/>
        </w:rPr>
        <w:t xml:space="preserve">. Ed. H.D. Görtz. </w:t>
      </w:r>
      <w:r>
        <w:rPr>
          <w:rFonts w:ascii="Times New Roman" w:hAnsi="Times New Roman" w:eastAsia="宋体" w:cs="Times New Roman"/>
          <w:sz w:val="24"/>
          <w:szCs w:val="24"/>
          <w:lang w:val="de-DE"/>
        </w:rPr>
        <w:t>Berlin/Heidelberg: Springer. 1988. pp. 419–437.</w:t>
      </w:r>
      <w:bookmarkEnd w:id="0"/>
    </w:p>
    <w:p w14:paraId="65D2AD38">
      <w:pPr>
        <w:pStyle w:val="4"/>
        <w:widowControl w:val="0"/>
        <w:numPr>
          <w:ilvl w:val="0"/>
          <w:numId w:val="1"/>
        </w:numPr>
        <w:spacing w:line="240" w:lineRule="auto"/>
        <w:ind w:left="0" w:right="-23"/>
        <w:rPr>
          <w:rFonts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Mironov T.</w:t>
      </w:r>
      <w:r>
        <w:rPr>
          <w:rFonts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 Sabaneyeva E.A</w:t>
      </w:r>
      <w:r>
        <w:rPr>
          <w:rFonts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 Robust </w:t>
      </w:r>
      <w:r>
        <w:rPr>
          <w:rFonts w:ascii="Times New Roman" w:hAnsi="Times New Roman" w:eastAsia="宋体" w:cs="Times New Roman"/>
          <w:sz w:val="24"/>
          <w:szCs w:val="24"/>
          <w:lang w:val="en-US" w:eastAsia="zh-CN"/>
        </w:rPr>
        <w:t xml:space="preserve">symbiotic relationship between the ciliate </w:t>
      </w:r>
      <w:r>
        <w:rPr>
          <w:rFonts w:hint="eastAsia" w:ascii="Times New Roman" w:hAnsi="Times New Roman" w:eastAsia="宋体" w:cs="Times New Roman"/>
          <w:i/>
          <w:iCs/>
          <w:sz w:val="24"/>
          <w:szCs w:val="24"/>
          <w:lang w:val="en-US" w:eastAsia="zh-CN"/>
        </w:rPr>
        <w:t>Paramecium multimicronucleatum</w:t>
      </w:r>
      <w:r>
        <w:rPr>
          <w:rFonts w:hint="eastAsia" w:ascii="Times New Roman" w:hAnsi="Times New Roman" w:eastAsia="宋体" w:cs="Times New Roman"/>
          <w:sz w:val="24"/>
          <w:szCs w:val="24"/>
          <w:lang w:val="en-US" w:eastAsia="zh-CN"/>
        </w:rPr>
        <w:t xml:space="preserve"> and the </w:t>
      </w:r>
      <w:r>
        <w:rPr>
          <w:rFonts w:ascii="Times New Roman" w:hAnsi="Times New Roman" w:eastAsia="宋体" w:cs="Times New Roman"/>
          <w:sz w:val="24"/>
          <w:szCs w:val="24"/>
          <w:lang w:val="en-US" w:eastAsia="zh-CN"/>
        </w:rPr>
        <w:t xml:space="preserve">bacterium </w:t>
      </w:r>
      <w:r>
        <w:rPr>
          <w:rFonts w:hint="eastAsia" w:ascii="Times New Roman" w:hAnsi="Times New Roman" w:eastAsia="宋体" w:cs="Times New Roman"/>
          <w:i/>
          <w:iCs/>
          <w:sz w:val="24"/>
          <w:szCs w:val="24"/>
          <w:lang w:val="en-US" w:eastAsia="zh-CN"/>
        </w:rPr>
        <w:t>Ca</w:t>
      </w:r>
      <w:r>
        <w:rPr>
          <w:rFonts w:hint="eastAsia" w:ascii="Times New Roman" w:hAnsi="Times New Roman" w:eastAsia="宋体" w:cs="Times New Roman"/>
          <w:sz w:val="24"/>
          <w:szCs w:val="24"/>
          <w:lang w:val="en-US" w:eastAsia="zh-CN"/>
        </w:rPr>
        <w:t xml:space="preserve">. Trichorickettsia </w:t>
      </w:r>
      <w:r>
        <w:rPr>
          <w:rFonts w:ascii="Times New Roman" w:hAnsi="Times New Roman" w:eastAsia="宋体" w:cs="Times New Roman"/>
          <w:sz w:val="24"/>
          <w:szCs w:val="24"/>
          <w:lang w:val="en-US" w:eastAsia="zh-CN"/>
        </w:rPr>
        <w:t>m</w:t>
      </w:r>
      <w:r>
        <w:rPr>
          <w:rFonts w:hint="eastAsia" w:ascii="Times New Roman" w:hAnsi="Times New Roman" w:eastAsia="宋体" w:cs="Times New Roman"/>
          <w:sz w:val="24"/>
          <w:szCs w:val="24"/>
          <w:lang w:val="en-US" w:eastAsia="zh-CN"/>
        </w:rPr>
        <w:t xml:space="preserve">obilis </w:t>
      </w:r>
      <w:r>
        <w:rPr>
          <w:rFonts w:ascii="Times New Roman" w:hAnsi="Times New Roman" w:eastAsia="宋体" w:cs="Times New Roman"/>
          <w:sz w:val="24"/>
          <w:szCs w:val="24"/>
          <w:lang w:val="en-US" w:eastAsia="zh-CN"/>
        </w:rPr>
        <w:t xml:space="preserve">// </w:t>
      </w:r>
      <w:r>
        <w:rPr>
          <w:rFonts w:hint="eastAsia" w:ascii="Times New Roman" w:hAnsi="Times New Roman" w:eastAsia="宋体" w:cs="Times New Roman"/>
          <w:i/>
          <w:iCs/>
          <w:sz w:val="24"/>
          <w:szCs w:val="24"/>
          <w:lang w:val="en-US" w:eastAsia="zh-CN"/>
        </w:rPr>
        <w:t>Front</w:t>
      </w:r>
      <w:r>
        <w:rPr>
          <w:rFonts w:ascii="Times New Roman" w:hAnsi="Times New Roman" w:eastAsia="宋体" w:cs="Times New Roman"/>
          <w:i/>
          <w:iCs/>
          <w:sz w:val="24"/>
          <w:szCs w:val="24"/>
          <w:lang w:val="en-US" w:eastAsia="zh-CN"/>
        </w:rPr>
        <w:t>iers in</w:t>
      </w:r>
      <w:r>
        <w:rPr>
          <w:rFonts w:hint="eastAsia" w:ascii="Times New Roman" w:hAnsi="Times New Roman" w:eastAsia="宋体" w:cs="Times New Roman"/>
          <w:i/>
          <w:iCs/>
          <w:sz w:val="24"/>
          <w:szCs w:val="24"/>
          <w:lang w:val="en-US" w:eastAsia="zh-CN"/>
        </w:rPr>
        <w:t xml:space="preserve"> Microbiol</w:t>
      </w:r>
      <w:r>
        <w:rPr>
          <w:rFonts w:ascii="Times New Roman" w:hAnsi="Times New Roman" w:eastAsia="宋体" w:cs="Times New Roman"/>
          <w:i/>
          <w:iCs/>
          <w:sz w:val="24"/>
          <w:szCs w:val="24"/>
          <w:lang w:val="en-US" w:eastAsia="zh-CN"/>
        </w:rPr>
        <w:t>ogy</w:t>
      </w:r>
      <w:r>
        <w:rPr>
          <w:rFonts w:hint="eastAsia" w:ascii="Times New Roman" w:hAnsi="Times New Roman" w:eastAsia="宋体" w:cs="Times New Roman"/>
          <w:i/>
          <w:iCs/>
          <w:sz w:val="24"/>
          <w:szCs w:val="24"/>
          <w:lang w:val="en-US" w:eastAsia="zh-CN"/>
        </w:rPr>
        <w:t>.</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lang w:val="en-US" w:eastAsia="zh-CN"/>
        </w:rPr>
        <w:t xml:space="preserve">2020, No. </w:t>
      </w:r>
      <w:r>
        <w:rPr>
          <w:rFonts w:hint="eastAsia" w:ascii="Times New Roman" w:hAnsi="Times New Roman" w:eastAsia="宋体" w:cs="Times New Roman"/>
          <w:sz w:val="24"/>
          <w:szCs w:val="24"/>
          <w:lang w:val="en-US" w:eastAsia="zh-CN"/>
        </w:rPr>
        <w:t xml:space="preserve">11, </w:t>
      </w:r>
      <w:r>
        <w:rPr>
          <w:rFonts w:ascii="Times New Roman" w:hAnsi="Times New Roman" w:eastAsia="宋体" w:cs="Times New Roman"/>
          <w:sz w:val="24"/>
          <w:szCs w:val="24"/>
          <w:lang w:val="en-US" w:eastAsia="zh-CN"/>
        </w:rPr>
        <w:t xml:space="preserve">pp. </w:t>
      </w:r>
      <w:r>
        <w:rPr>
          <w:rFonts w:hint="eastAsia" w:ascii="Times New Roman" w:hAnsi="Times New Roman" w:eastAsia="宋体" w:cs="Times New Roman"/>
          <w:sz w:val="24"/>
          <w:szCs w:val="24"/>
          <w:lang w:val="en-US" w:eastAsia="zh-CN"/>
        </w:rPr>
        <w:t>603335.</w:t>
      </w:r>
    </w:p>
    <w:p w14:paraId="0784D89F">
      <w:pPr>
        <w:pStyle w:val="4"/>
        <w:widowControl w:val="0"/>
        <w:numPr>
          <w:ilvl w:val="0"/>
          <w:numId w:val="1"/>
        </w:numPr>
        <w:spacing w:line="240" w:lineRule="auto"/>
        <w:ind w:left="0" w:right="-23"/>
        <w:rPr>
          <w:rFonts w:ascii="Times New Roman" w:hAnsi="Times New Roman" w:eastAsia="宋体" w:cs="Times New Roman"/>
          <w:sz w:val="24"/>
          <w:szCs w:val="24"/>
          <w:lang w:val="en-US" w:eastAsia="zh-CN"/>
        </w:rPr>
      </w:pPr>
      <w:bookmarkStart w:id="1" w:name="_Ref22033"/>
      <w:r>
        <w:rPr>
          <w:rFonts w:ascii="Times New Roman" w:hAnsi="Times New Roman" w:eastAsia="宋体" w:cs="Times New Roman"/>
          <w:sz w:val="24"/>
          <w:szCs w:val="24"/>
          <w:lang w:val="en-US" w:eastAsia="zh-CN"/>
        </w:rPr>
        <w:t>Lanzoni O., Plotnikov A., Khlopko Y., Munz G., Petroni G., Potekhin A. The core</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lang w:val="en-US" w:eastAsia="zh-CN"/>
        </w:rPr>
        <w:t xml:space="preserve">microbiome of sessile ciliate </w:t>
      </w:r>
      <w:r>
        <w:rPr>
          <w:rFonts w:ascii="Times New Roman" w:hAnsi="Times New Roman" w:eastAsia="宋体" w:cs="Times New Roman"/>
          <w:i/>
          <w:iCs/>
          <w:sz w:val="24"/>
          <w:szCs w:val="24"/>
          <w:lang w:val="en-US" w:eastAsia="zh-CN"/>
        </w:rPr>
        <w:t>Stentor coeruleus</w:t>
      </w:r>
      <w:r>
        <w:rPr>
          <w:rFonts w:ascii="Times New Roman" w:hAnsi="Times New Roman" w:eastAsia="宋体" w:cs="Times New Roman"/>
          <w:sz w:val="24"/>
          <w:szCs w:val="24"/>
          <w:lang w:val="en-US" w:eastAsia="zh-CN"/>
        </w:rPr>
        <w:t xml:space="preserve"> is not shaped by the</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lang w:val="en-US" w:eastAsia="zh-CN"/>
        </w:rPr>
        <w:t xml:space="preserve">environment // </w:t>
      </w:r>
      <w:r>
        <w:rPr>
          <w:rFonts w:ascii="Times New Roman" w:hAnsi="Times New Roman" w:eastAsia="宋体" w:cs="Times New Roman"/>
          <w:i/>
          <w:iCs/>
          <w:sz w:val="24"/>
          <w:szCs w:val="24"/>
          <w:lang w:val="en-US" w:eastAsia="zh-CN"/>
        </w:rPr>
        <w:t>Scientific Reports</w:t>
      </w:r>
      <w:r>
        <w:rPr>
          <w:rFonts w:ascii="Times New Roman" w:hAnsi="Times New Roman" w:eastAsia="宋体" w:cs="Times New Roman"/>
          <w:sz w:val="24"/>
          <w:szCs w:val="24"/>
          <w:lang w:val="en-US" w:eastAsia="zh-CN"/>
        </w:rPr>
        <w:t>. 2019, No. 9(1), pp. 11356.</w:t>
      </w:r>
    </w:p>
    <w:p w14:paraId="5E4C38D3">
      <w:pPr>
        <w:pStyle w:val="4"/>
        <w:widowControl w:val="0"/>
        <w:numPr>
          <w:ilvl w:val="0"/>
          <w:numId w:val="1"/>
        </w:numPr>
        <w:spacing w:line="240" w:lineRule="auto"/>
        <w:ind w:left="0" w:right="-23"/>
        <w:rPr>
          <w:rFonts w:ascii="Times New Roman" w:hAnsi="Times New Roman" w:eastAsia="宋体" w:cs="Times New Roman"/>
          <w:sz w:val="24"/>
          <w:szCs w:val="24"/>
          <w:lang w:val="en-US" w:eastAsia="zh-CN"/>
        </w:rPr>
      </w:pPr>
      <w:r>
        <w:rPr>
          <w:rFonts w:ascii="Times New Roman" w:hAnsi="Times New Roman" w:eastAsia="宋体" w:cs="Times New Roman"/>
          <w:sz w:val="24"/>
          <w:szCs w:val="24"/>
          <w:lang w:val="en-US" w:eastAsia="zh-CN"/>
        </w:rPr>
        <w:t xml:space="preserve">Fokin S.I., Chivilev S.M. </w:t>
      </w:r>
      <w:r>
        <w:rPr>
          <w:rFonts w:ascii="Times New Roman" w:hAnsi="Times New Roman" w:eastAsia="宋体" w:cs="Times New Roman"/>
          <w:i/>
          <w:iCs/>
          <w:sz w:val="24"/>
          <w:szCs w:val="24"/>
          <w:lang w:val="en-US" w:eastAsia="zh-CN"/>
        </w:rPr>
        <w:t>Paramecium</w:t>
      </w:r>
      <w:r>
        <w:rPr>
          <w:rFonts w:ascii="Times New Roman" w:hAnsi="Times New Roman" w:eastAsia="宋体" w:cs="Times New Roman"/>
          <w:sz w:val="24"/>
          <w:szCs w:val="24"/>
          <w:lang w:val="en-US" w:eastAsia="zh-CN"/>
        </w:rPr>
        <w:t xml:space="preserve"> morphometric analysis and taxonomy // </w:t>
      </w:r>
      <w:r>
        <w:rPr>
          <w:rFonts w:ascii="Times New Roman" w:hAnsi="Times New Roman" w:eastAsia="宋体" w:cs="Times New Roman"/>
          <w:i/>
          <w:iCs/>
          <w:sz w:val="24"/>
          <w:szCs w:val="24"/>
          <w:lang w:val="en-US" w:eastAsia="zh-CN"/>
        </w:rPr>
        <w:t>Acta Protozoologica</w:t>
      </w:r>
      <w:r>
        <w:rPr>
          <w:rFonts w:ascii="Times New Roman" w:hAnsi="Times New Roman" w:eastAsia="宋体" w:cs="Times New Roman"/>
          <w:sz w:val="24"/>
          <w:szCs w:val="24"/>
          <w:lang w:val="en-US" w:eastAsia="zh-CN"/>
        </w:rPr>
        <w:t xml:space="preserve">. 2000, No. 39(1), pp. 1-14. </w:t>
      </w:r>
      <w:bookmarkEnd w:id="1"/>
    </w:p>
    <w:sectPr>
      <w:pgSz w:w="11906" w:h="16838"/>
      <w:pgMar w:top="1134" w:right="1361" w:bottom="1134" w:left="1361"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59" w:lineRule="auto"/>
      </w:pPr>
      <w:r>
        <w:separator/>
      </w:r>
    </w:p>
  </w:footnote>
  <w:footnote w:type="continuationSeparator" w:id="1">
    <w:p>
      <w:pPr>
        <w:spacing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28D3C6"/>
    <w:multiLevelType w:val="singleLevel"/>
    <w:tmpl w:val="6D28D3C6"/>
    <w:lvl w:ilvl="0" w:tentative="0">
      <w:start w:val="1"/>
      <w:numFmt w:val="decimal"/>
      <w:lvlText w:val="[%1]"/>
      <w:lvlJc w:val="left"/>
      <w:pPr>
        <w:tabs>
          <w:tab w:val="left" w:pos="312"/>
        </w:tabs>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775E0"/>
    <w:rsid w:val="002C2087"/>
    <w:rsid w:val="00473D1E"/>
    <w:rsid w:val="008A6165"/>
    <w:rsid w:val="008E1E15"/>
    <w:rsid w:val="00A81D29"/>
    <w:rsid w:val="00BA7BC1"/>
    <w:rsid w:val="00EE26EE"/>
    <w:rsid w:val="00FA1FA3"/>
    <w:rsid w:val="503C1FAC"/>
    <w:rsid w:val="584E5599"/>
    <w:rsid w:val="7CB77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59" w:lineRule="auto"/>
    </w:pPr>
    <w:rPr>
      <w:rFonts w:ascii="Calibri" w:hAnsi="Calibri" w:cs="Calibri" w:eastAsiaTheme="minorEastAsia"/>
      <w:sz w:val="22"/>
      <w:szCs w:val="22"/>
      <w:lang w:val="ru-RU" w:eastAsia="ru-RU"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358</Words>
  <Characters>2289</Characters>
  <Lines>18</Lines>
  <Paragraphs>5</Paragraphs>
  <TotalTime>58</TotalTime>
  <ScaleCrop>false</ScaleCrop>
  <LinksUpToDate>false</LinksUpToDate>
  <CharactersWithSpaces>2634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2026-04-03T07:51:00Z</dcterms:created>
  <dc:creator>快乐鲨瓜爱学习</dc:creator>
  <cp:lastModifiedBy>快乐鲨瓜爱学习</cp:lastModifiedBy>
  <dcterms:modified xsi:type="dcterms:W3CDTF">2026-04-04T17:24:42Z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8031F87E602F4572A5C5EADF058873D7_13</vt:lpwstr>
  </property>
  <property fmtid="{D5CDD505-2E9C-101B-9397-08002B2CF9AE}" pid="4" name="KSOTemplateDocerSaveRecord">
    <vt:lpwstr>eyJoZGlkIjoiNzliYmE4NTJlYmQyZDllODFjZmNmMzMxMjEzNjZmZmQiLCJ1c2VySWQiOiI2MTI2NDM0ODQifQ==</vt:lpwstr>
  </property>
</Properties>
</file>