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D677" w14:textId="77777777" w:rsidR="0008222B" w:rsidRPr="0008222B" w:rsidRDefault="0008222B" w:rsidP="009E648D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222B">
        <w:rPr>
          <w:rFonts w:ascii="Times New Roman" w:hAnsi="Times New Roman" w:cs="Times New Roman"/>
          <w:b/>
          <w:sz w:val="24"/>
          <w:szCs w:val="24"/>
          <w:lang w:val="ru-RU"/>
        </w:rPr>
        <w:t>Исследование взаимосвязи «структура-свойства» органических светоизлучающих материалов с помощью машинного обучения</w:t>
      </w:r>
    </w:p>
    <w:p w14:paraId="0EA43B01" w14:textId="0A735F39" w:rsidR="00B1182B" w:rsidRPr="0008222B" w:rsidRDefault="00B1182B" w:rsidP="009E648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08222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Лу Мяо</w:t>
      </w:r>
    </w:p>
    <w:p w14:paraId="0C170A1D" w14:textId="77777777" w:rsidR="00B1182B" w:rsidRPr="00B1182B" w:rsidRDefault="00747AEB" w:rsidP="009E648D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1182B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Студент, 4 курс бакалавриата</w:t>
      </w:r>
    </w:p>
    <w:p w14:paraId="6DCBE6D1" w14:textId="77777777" w:rsidR="00B1182B" w:rsidRPr="00B1182B" w:rsidRDefault="00747AEB" w:rsidP="009E648D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1182B">
        <w:rPr>
          <w:rFonts w:ascii="Times New Roman" w:hAnsi="Times New Roman" w:cs="Times New Roman"/>
          <w:i/>
          <w:iCs/>
          <w:sz w:val="24"/>
          <w:szCs w:val="24"/>
          <w:lang w:val="ru-RU"/>
        </w:rPr>
        <w:t>Университет МГУ-ППИ в Шэньчжэне, химический факультет, Шэньчжэнь, Китай</w:t>
      </w:r>
      <w:r w:rsidR="00B1182B" w:rsidRPr="00B1182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BBCA980" w14:textId="4262E1DA" w:rsidR="00747AEB" w:rsidRPr="00B1182B" w:rsidRDefault="00747AEB" w:rsidP="00747AEB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1182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B1182B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B1182B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B1182B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 w:rsidR="00B1182B" w:rsidRPr="00B1182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B1182B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718083347@</w:t>
      </w:r>
      <w:proofErr w:type="spellStart"/>
      <w:r w:rsidRPr="00B1182B">
        <w:rPr>
          <w:rFonts w:ascii="Times New Roman" w:hAnsi="Times New Roman" w:cs="Times New Roman"/>
          <w:i/>
          <w:iCs/>
          <w:sz w:val="24"/>
          <w:szCs w:val="24"/>
          <w:u w:val="single"/>
        </w:rPr>
        <w:t>qq</w:t>
      </w:r>
      <w:proofErr w:type="spellEnd"/>
      <w:r w:rsidRPr="00B1182B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.</w:t>
      </w:r>
      <w:r w:rsidRPr="00B1182B">
        <w:rPr>
          <w:rFonts w:ascii="Times New Roman" w:hAnsi="Times New Roman" w:cs="Times New Roman"/>
          <w:i/>
          <w:iCs/>
          <w:sz w:val="24"/>
          <w:szCs w:val="24"/>
          <w:u w:val="single"/>
        </w:rPr>
        <w:t>com</w:t>
      </w:r>
    </w:p>
    <w:p w14:paraId="64FB94C4" w14:textId="3005D782" w:rsidR="006B2C73" w:rsidRDefault="009E648D" w:rsidP="00B1182B">
      <w:pPr>
        <w:ind w:firstLineChars="177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B1182B">
        <w:rPr>
          <w:rFonts w:ascii="Times New Roman" w:hAnsi="Times New Roman" w:cs="Times New Roman"/>
          <w:sz w:val="24"/>
          <w:szCs w:val="24"/>
          <w:lang w:val="ru-RU"/>
        </w:rPr>
        <w:t>Данное исследование направлено на изучение взаимосвязи между химической структурой и фотофизическими свойствами органических светоизлучающих материалов с применением методов машинного обучения. Подобные материалы находят широкое применение в органических светодиодах (</w:t>
      </w:r>
      <w:proofErr w:type="spellStart"/>
      <w:r w:rsidRPr="00747AEB">
        <w:rPr>
          <w:rFonts w:ascii="Times New Roman" w:hAnsi="Times New Roman" w:cs="Times New Roman"/>
          <w:sz w:val="24"/>
          <w:szCs w:val="24"/>
        </w:rPr>
        <w:t>oled</w:t>
      </w:r>
      <w:proofErr w:type="spellEnd"/>
      <w:r w:rsidRPr="00B1182B">
        <w:rPr>
          <w:rFonts w:ascii="Times New Roman" w:hAnsi="Times New Roman" w:cs="Times New Roman"/>
          <w:sz w:val="24"/>
          <w:szCs w:val="24"/>
          <w:lang w:val="ru-RU"/>
        </w:rPr>
        <w:t>), флуоресцентных сенсорах и биовизуализации. Химическая структура молекулы, включая тип скелета, длину сопряжения, природу заместителей и пространственную конфигурацию, напрямую определяет такие характеристики, как длина волны излучения и квантовый выход. Для объяснения механизмов регуляции эффективности излучения за счет жесткости молекул и расширения сопряжения был разработан рабочий процесс, включающий поиск начальных конформаций, оптимизацию основного состояния и анализ возбужденных состояний методом теории функционала плотности (</w:t>
      </w:r>
      <w:proofErr w:type="spellStart"/>
      <w:r w:rsidRPr="00747AEB">
        <w:rPr>
          <w:rFonts w:ascii="Times New Roman" w:hAnsi="Times New Roman" w:cs="Times New Roman"/>
          <w:sz w:val="24"/>
          <w:szCs w:val="24"/>
        </w:rPr>
        <w:t>dft</w:t>
      </w:r>
      <w:proofErr w:type="spellEnd"/>
      <w:r w:rsidRPr="00B1182B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47AEB">
        <w:rPr>
          <w:rFonts w:ascii="Times New Roman" w:hAnsi="Times New Roman" w:cs="Times New Roman"/>
          <w:sz w:val="24"/>
          <w:szCs w:val="24"/>
        </w:rPr>
        <w:t>td</w:t>
      </w:r>
      <w:r w:rsidRPr="00B1182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747AEB">
        <w:rPr>
          <w:rFonts w:ascii="Times New Roman" w:hAnsi="Times New Roman" w:cs="Times New Roman"/>
          <w:sz w:val="24"/>
          <w:szCs w:val="24"/>
        </w:rPr>
        <w:t>dft</w:t>
      </w:r>
      <w:proofErr w:type="spellEnd"/>
      <w:r w:rsidRPr="00B1182B">
        <w:rPr>
          <w:rFonts w:ascii="Times New Roman" w:hAnsi="Times New Roman" w:cs="Times New Roman"/>
          <w:sz w:val="24"/>
          <w:szCs w:val="24"/>
          <w:lang w:val="ru-RU"/>
        </w:rPr>
        <w:t xml:space="preserve">). Сравнительный анализ свойств таких материалов, как </w:t>
      </w:r>
      <w:proofErr w:type="spellStart"/>
      <w:r w:rsidRPr="00747AEB">
        <w:rPr>
          <w:rFonts w:ascii="Times New Roman" w:hAnsi="Times New Roman" w:cs="Times New Roman"/>
          <w:sz w:val="24"/>
          <w:szCs w:val="24"/>
        </w:rPr>
        <w:t>pdi</w:t>
      </w:r>
      <w:proofErr w:type="spellEnd"/>
      <w:r w:rsidRPr="00B1182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747AEB">
        <w:rPr>
          <w:rFonts w:ascii="Times New Roman" w:hAnsi="Times New Roman" w:cs="Times New Roman"/>
          <w:sz w:val="24"/>
          <w:szCs w:val="24"/>
        </w:rPr>
        <w:t>cy</w:t>
      </w:r>
      <w:r w:rsidRPr="00B1182B">
        <w:rPr>
          <w:rFonts w:ascii="Times New Roman" w:hAnsi="Times New Roman" w:cs="Times New Roman"/>
          <w:sz w:val="24"/>
          <w:szCs w:val="24"/>
          <w:lang w:val="ru-RU"/>
        </w:rPr>
        <w:t xml:space="preserve">7, подтвердил наличие отрицательной корреляции между молекулярной жесткостью и скоростью </w:t>
      </w:r>
      <w:proofErr w:type="spellStart"/>
      <w:r w:rsidRPr="00B1182B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B1182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1182B">
        <w:rPr>
          <w:rFonts w:ascii="Times New Roman" w:hAnsi="Times New Roman" w:cs="Times New Roman"/>
          <w:sz w:val="24"/>
          <w:szCs w:val="24"/>
          <w:lang w:val="ru-RU"/>
        </w:rPr>
        <w:t>злучательных</w:t>
      </w:r>
      <w:proofErr w:type="spellEnd"/>
      <w:r w:rsidRPr="00B1182B">
        <w:rPr>
          <w:rFonts w:ascii="Times New Roman" w:hAnsi="Times New Roman" w:cs="Times New Roman"/>
          <w:sz w:val="24"/>
          <w:szCs w:val="24"/>
          <w:lang w:val="ru-RU"/>
        </w:rPr>
        <w:t xml:space="preserve"> переходов. На основе полученных данных был разработан скрипт машинного обучения для быстрого предсказания характеристик излучения по химической структуре молекул. Предложенная стратегия проектирования материалов, ориентированная на анализ данных, обеспечивает эффективный отбор и прогнозирование свойств, создавая надежную теоретическую базу для молекулярного дизайна новых светоизлучающих материалов.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B2C73" w:rsidRPr="00747AEB" w14:paraId="33810C20" w14:textId="77777777" w:rsidTr="00B1182B">
        <w:trPr>
          <w:jc w:val="center"/>
        </w:trPr>
        <w:tc>
          <w:tcPr>
            <w:tcW w:w="2765" w:type="dxa"/>
          </w:tcPr>
          <w:p w14:paraId="5EEECB81" w14:textId="77777777" w:rsidR="006B2C73" w:rsidRPr="00B1182B" w:rsidRDefault="006B2C73" w:rsidP="009E64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</w:tcPr>
          <w:p w14:paraId="0A020B3A" w14:textId="12006B0E" w:rsidR="006B2C73" w:rsidRPr="00747AEB" w:rsidRDefault="006B2C73" w:rsidP="009E64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7AEB">
              <w:rPr>
                <w:rFonts w:ascii="Times New Roman" w:hAnsi="Times New Roman" w:cs="Times New Roman"/>
                <w:bCs/>
                <w:sz w:val="24"/>
                <w:szCs w:val="24"/>
              </w:rPr>
              <w:t>PDI</w:t>
            </w:r>
          </w:p>
        </w:tc>
        <w:tc>
          <w:tcPr>
            <w:tcW w:w="2766" w:type="dxa"/>
          </w:tcPr>
          <w:p w14:paraId="0B75711D" w14:textId="31C65B8D" w:rsidR="006B2C73" w:rsidRPr="00747AEB" w:rsidRDefault="006B2C73" w:rsidP="009E64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7AEB">
              <w:rPr>
                <w:rFonts w:ascii="Times New Roman" w:hAnsi="Times New Roman" w:cs="Times New Roman"/>
                <w:bCs/>
                <w:sz w:val="24"/>
                <w:szCs w:val="24"/>
              </w:rPr>
              <w:t>Cy7</w:t>
            </w:r>
          </w:p>
        </w:tc>
      </w:tr>
      <w:tr w:rsidR="006B2C73" w:rsidRPr="00747AEB" w14:paraId="139C1B8E" w14:textId="77777777" w:rsidTr="00B1182B">
        <w:trPr>
          <w:jc w:val="center"/>
        </w:trPr>
        <w:tc>
          <w:tcPr>
            <w:tcW w:w="2765" w:type="dxa"/>
          </w:tcPr>
          <w:p w14:paraId="6B2B0136" w14:textId="77777777" w:rsidR="006B2C73" w:rsidRPr="00747AEB" w:rsidRDefault="006B2C73" w:rsidP="006B2C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7AE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Структурная жесткость</w:t>
            </w:r>
          </w:p>
          <w:p w14:paraId="78BAF001" w14:textId="77777777" w:rsidR="006B2C73" w:rsidRPr="00747AEB" w:rsidRDefault="006B2C73" w:rsidP="009E64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F20B949" w14:textId="77777777" w:rsidR="006B2C73" w:rsidRPr="00747AEB" w:rsidRDefault="006B2C73" w:rsidP="006B2C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7AE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Жесткая</w:t>
            </w:r>
          </w:p>
          <w:p w14:paraId="36964209" w14:textId="77777777" w:rsidR="006B2C73" w:rsidRPr="00747AEB" w:rsidRDefault="006B2C73" w:rsidP="009E64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14:paraId="3A51B7F7" w14:textId="77777777" w:rsidR="006B2C73" w:rsidRPr="00747AEB" w:rsidRDefault="006B2C73" w:rsidP="006B2C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7AE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Гибкая</w:t>
            </w:r>
          </w:p>
          <w:p w14:paraId="3D702DDC" w14:textId="77777777" w:rsidR="006B2C73" w:rsidRPr="00747AEB" w:rsidRDefault="006B2C73" w:rsidP="009E64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C73" w:rsidRPr="00747AEB" w14:paraId="385CE4FE" w14:textId="77777777" w:rsidTr="00B1182B">
        <w:trPr>
          <w:jc w:val="center"/>
        </w:trPr>
        <w:tc>
          <w:tcPr>
            <w:tcW w:w="2765" w:type="dxa"/>
          </w:tcPr>
          <w:p w14:paraId="7C94D6E7" w14:textId="77777777" w:rsidR="006B2C73" w:rsidRPr="00747AEB" w:rsidRDefault="006B2C73" w:rsidP="006B2C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7AE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Основной</w:t>
            </w:r>
            <w:r w:rsidRPr="00747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E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механизм диссипации</w:t>
            </w:r>
          </w:p>
          <w:p w14:paraId="66D9C6C3" w14:textId="77777777" w:rsidR="006B2C73" w:rsidRPr="00747AEB" w:rsidRDefault="006B2C73" w:rsidP="009E64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8AC8A3A" w14:textId="77777777" w:rsidR="006B2C73" w:rsidRPr="00747AEB" w:rsidRDefault="006B2C73" w:rsidP="006B2C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7AE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Преимущественно излучательный переход </w:t>
            </w:r>
          </w:p>
          <w:p w14:paraId="4BAB1F2D" w14:textId="77777777" w:rsidR="006B2C73" w:rsidRPr="00747AEB" w:rsidRDefault="006B2C73" w:rsidP="009E64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14:paraId="3F03EAC9" w14:textId="77777777" w:rsidR="006B2C73" w:rsidRPr="00747AEB" w:rsidRDefault="006B2C73" w:rsidP="006B2C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7AE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Преимущественно безызлучательный переход</w:t>
            </w:r>
          </w:p>
          <w:p w14:paraId="7ED7D03E" w14:textId="77777777" w:rsidR="006B2C73" w:rsidRPr="00747AEB" w:rsidRDefault="006B2C73" w:rsidP="009E64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C73" w:rsidRPr="0008222B" w14:paraId="3076F82E" w14:textId="77777777" w:rsidTr="00B1182B">
        <w:trPr>
          <w:jc w:val="center"/>
        </w:trPr>
        <w:tc>
          <w:tcPr>
            <w:tcW w:w="2765" w:type="dxa"/>
          </w:tcPr>
          <w:p w14:paraId="25DDE583" w14:textId="77777777" w:rsidR="006B2C73" w:rsidRPr="00747AEB" w:rsidRDefault="006B2C73" w:rsidP="006B2C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7AE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Физический механизм</w:t>
            </w:r>
          </w:p>
          <w:p w14:paraId="5EC9B186" w14:textId="77777777" w:rsidR="006B2C73" w:rsidRPr="00747AEB" w:rsidRDefault="006B2C73" w:rsidP="009E64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7AAC45EE" w14:textId="680346AF" w:rsidR="006B2C73" w:rsidRPr="00B1182B" w:rsidRDefault="006B2C73" w:rsidP="006B2C7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Жесткий скелет подавляет низкочастотные вибрации, снижая потери энергии</w:t>
            </w:r>
          </w:p>
        </w:tc>
        <w:tc>
          <w:tcPr>
            <w:tcW w:w="2766" w:type="dxa"/>
          </w:tcPr>
          <w:p w14:paraId="3298FF62" w14:textId="77777777" w:rsidR="006B2C73" w:rsidRPr="00B1182B" w:rsidRDefault="006B2C73" w:rsidP="006B2C7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Красное смещение длины волны сужает запрещенную зону, экспоненциально увеличивая скорость безызлучательных переходов</w:t>
            </w:r>
          </w:p>
          <w:p w14:paraId="3E03BD03" w14:textId="77777777" w:rsidR="006B2C73" w:rsidRPr="00B1182B" w:rsidRDefault="006B2C73" w:rsidP="009E64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2C73" w:rsidRPr="00747AEB" w14:paraId="59FF1512" w14:textId="77777777" w:rsidTr="00B1182B">
        <w:trPr>
          <w:trHeight w:val="221"/>
          <w:jc w:val="center"/>
        </w:trPr>
        <w:tc>
          <w:tcPr>
            <w:tcW w:w="2765" w:type="dxa"/>
          </w:tcPr>
          <w:p w14:paraId="3CF36EE7" w14:textId="77777777" w:rsidR="006B2C73" w:rsidRPr="0008222B" w:rsidRDefault="006B2C73" w:rsidP="006B2C7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E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Потенциал </w:t>
            </w:r>
            <w:r w:rsidRPr="00747AEB">
              <w:rPr>
                <w:rFonts w:ascii="Times New Roman" w:hAnsi="Times New Roman" w:cs="Times New Roman"/>
                <w:sz w:val="24"/>
                <w:szCs w:val="24"/>
              </w:rPr>
              <w:t>TADF</w:t>
            </w:r>
          </w:p>
          <w:p w14:paraId="5F1BB940" w14:textId="77777777" w:rsidR="006B2C73" w:rsidRPr="0008222B" w:rsidRDefault="006B2C73" w:rsidP="009E648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</w:tcPr>
          <w:p w14:paraId="0C9ADAA4" w14:textId="77777777" w:rsidR="006B2C73" w:rsidRPr="00747AEB" w:rsidRDefault="006B2C73" w:rsidP="006B2C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7AE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Слабый</w:t>
            </w:r>
          </w:p>
          <w:p w14:paraId="459EC376" w14:textId="77777777" w:rsidR="006B2C73" w:rsidRPr="00747AEB" w:rsidRDefault="006B2C73" w:rsidP="009E64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14:paraId="68070784" w14:textId="77777777" w:rsidR="006B2C73" w:rsidRPr="00747AEB" w:rsidRDefault="006B2C73" w:rsidP="006B2C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7AE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Крайне слабый</w:t>
            </w:r>
          </w:p>
          <w:p w14:paraId="76BD5F54" w14:textId="77777777" w:rsidR="006B2C73" w:rsidRPr="00747AEB" w:rsidRDefault="006B2C73" w:rsidP="009E64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960121" w14:textId="77777777" w:rsidR="00B1182B" w:rsidRPr="00B1182B" w:rsidRDefault="00B1182B" w:rsidP="00B11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182B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3B4C9570" w14:textId="5FE8D6A6" w:rsidR="009E648D" w:rsidRPr="00B1182B" w:rsidRDefault="00747AEB" w:rsidP="009E648D">
      <w:pPr>
        <w:jc w:val="left"/>
        <w:rPr>
          <w:rFonts w:ascii="Times New Roman" w:hAnsi="Times New Roman" w:cs="Times New Roman"/>
          <w:sz w:val="24"/>
          <w:szCs w:val="24"/>
        </w:rPr>
      </w:pPr>
      <w:r w:rsidRPr="00B1182B">
        <w:rPr>
          <w:rFonts w:ascii="Times New Roman" w:hAnsi="Times New Roman" w:cs="Times New Roman"/>
          <w:sz w:val="24"/>
          <w:szCs w:val="24"/>
        </w:rPr>
        <w:t>1.Yao, L., et al. (2014). Progress in mechanism and material design for TADF OLEDs. Sci.</w:t>
      </w:r>
      <w:r w:rsidR="00BB19A3" w:rsidRPr="00B11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9E648D" w:rsidRPr="00B1182B" w:rsidSect="00BB19A3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9FA97" w14:textId="77777777" w:rsidR="006852D3" w:rsidRDefault="006852D3" w:rsidP="00BB19A3">
      <w:r>
        <w:separator/>
      </w:r>
    </w:p>
  </w:endnote>
  <w:endnote w:type="continuationSeparator" w:id="0">
    <w:p w14:paraId="03FDB4AA" w14:textId="77777777" w:rsidR="006852D3" w:rsidRDefault="006852D3" w:rsidP="00BB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E5175" w14:textId="77777777" w:rsidR="006852D3" w:rsidRDefault="006852D3" w:rsidP="00BB19A3">
      <w:r>
        <w:separator/>
      </w:r>
    </w:p>
  </w:footnote>
  <w:footnote w:type="continuationSeparator" w:id="0">
    <w:p w14:paraId="415FFEC9" w14:textId="77777777" w:rsidR="006852D3" w:rsidRDefault="006852D3" w:rsidP="00BB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8E"/>
    <w:rsid w:val="0008222B"/>
    <w:rsid w:val="00296351"/>
    <w:rsid w:val="002F16A2"/>
    <w:rsid w:val="003F54D8"/>
    <w:rsid w:val="00447FDC"/>
    <w:rsid w:val="0061798E"/>
    <w:rsid w:val="006852D3"/>
    <w:rsid w:val="006B2C73"/>
    <w:rsid w:val="00747AE6"/>
    <w:rsid w:val="00747AEB"/>
    <w:rsid w:val="008D4785"/>
    <w:rsid w:val="008F777D"/>
    <w:rsid w:val="009E648D"/>
    <w:rsid w:val="00A13786"/>
    <w:rsid w:val="00A8343B"/>
    <w:rsid w:val="00B1182B"/>
    <w:rsid w:val="00B56289"/>
    <w:rsid w:val="00BB19A3"/>
    <w:rsid w:val="00ED4EFD"/>
    <w:rsid w:val="00F12FB6"/>
    <w:rsid w:val="00F2604F"/>
    <w:rsid w:val="00F45DD5"/>
    <w:rsid w:val="00F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FC06F"/>
  <w15:chartTrackingRefBased/>
  <w15:docId w15:val="{5EA1E714-137B-45F9-8E1A-F26D8846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98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98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98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98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17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617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17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798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1798E"/>
    <w:rPr>
      <w:rFonts w:cstheme="majorBidi"/>
      <w:b/>
      <w:bCs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1798E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798E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17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9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7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9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7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79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79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79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79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7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79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798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B2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B2C7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BB19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Верхний колонтитул Знак"/>
    <w:basedOn w:val="a0"/>
    <w:link w:val="ae"/>
    <w:uiPriority w:val="99"/>
    <w:rsid w:val="00BB19A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B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Нижний колонтитул Знак"/>
    <w:basedOn w:val="a0"/>
    <w:link w:val="af0"/>
    <w:uiPriority w:val="99"/>
    <w:rsid w:val="00BB19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1654</Characters>
  <Application>Microsoft Office Word</Application>
  <DocSecurity>0</DocSecurity>
  <Lines>39</Lines>
  <Paragraphs>18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邈 陆</dc:creator>
  <cp:keywords/>
  <dc:description/>
  <cp:lastModifiedBy>БарОВ</cp:lastModifiedBy>
  <cp:revision>2</cp:revision>
  <dcterms:created xsi:type="dcterms:W3CDTF">2026-04-13T04:48:00Z</dcterms:created>
  <dcterms:modified xsi:type="dcterms:W3CDTF">2026-04-13T04:48:00Z</dcterms:modified>
</cp:coreProperties>
</file>