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C7302" w:rsidRDefault="006912F5" w:rsidP="006912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12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Практика Суда ЕАЭС и проблема наднациональной защиты прав человека </w:t>
      </w:r>
    </w:p>
    <w:p w:rsidR="006912F5" w:rsidRDefault="006912F5" w:rsidP="006912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12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евразийском пространстве</w:t>
      </w:r>
    </w:p>
    <w:p w:rsidR="006912F5" w:rsidRDefault="006912F5" w:rsidP="006912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6912F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Леонтьев </w:t>
      </w:r>
      <w:r w:rsidR="00CC7302" w:rsidRPr="00CC730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Евгений Александрович</w:t>
      </w:r>
    </w:p>
    <w:p w:rsidR="006912F5" w:rsidRDefault="006912F5" w:rsidP="006912F5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Аспирант</w:t>
      </w:r>
    </w:p>
    <w:p w:rsidR="006912F5" w:rsidRDefault="006912F5" w:rsidP="006912F5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Тюменский государственный университет,</w:t>
      </w:r>
    </w:p>
    <w:p w:rsidR="006912F5" w:rsidRDefault="006912F5" w:rsidP="006912F5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Институт государства и права, Тюмень, Россия</w:t>
      </w:r>
    </w:p>
    <w:p w:rsidR="006912F5" w:rsidRPr="00CC7302" w:rsidRDefault="006912F5" w:rsidP="00CC7302">
      <w:pPr>
        <w:spacing w:after="0" w:line="240" w:lineRule="auto"/>
        <w:jc w:val="center"/>
      </w:pPr>
      <w:r w:rsidRPr="006912F5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E</w:t>
      </w:r>
      <w:r w:rsidRPr="00CC7302">
        <w:rPr>
          <w:rFonts w:ascii="Times New Roman" w:eastAsia="Times New Roman" w:hAnsi="Times New Roman" w:cs="Times New Roman"/>
          <w:i/>
          <w:iCs/>
          <w:sz w:val="24"/>
          <w:szCs w:val="24"/>
        </w:rPr>
        <w:t>-</w:t>
      </w:r>
      <w:r w:rsidRPr="006912F5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mail</w:t>
      </w:r>
      <w:r w:rsidRPr="00CC730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: </w:t>
      </w:r>
      <w:r w:rsidRPr="006912F5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stud</w:t>
      </w:r>
      <w:r w:rsidRPr="00CC7302">
        <w:rPr>
          <w:rFonts w:ascii="Times New Roman" w:eastAsia="Times New Roman" w:hAnsi="Times New Roman" w:cs="Times New Roman"/>
          <w:i/>
          <w:iCs/>
          <w:sz w:val="24"/>
          <w:szCs w:val="24"/>
        </w:rPr>
        <w:t>0000191560@</w:t>
      </w:r>
      <w:proofErr w:type="spellStart"/>
      <w:r w:rsidRPr="006912F5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utmn</w:t>
      </w:r>
      <w:proofErr w:type="spellEnd"/>
      <w:r w:rsidRPr="00CC7302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proofErr w:type="spellStart"/>
      <w:r w:rsidRPr="006912F5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ru</w:t>
      </w:r>
      <w:proofErr w:type="spellEnd"/>
    </w:p>
    <w:p w:rsidR="006912F5" w:rsidRPr="006912F5" w:rsidRDefault="006912F5" w:rsidP="006912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2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Реализация закрепленного в ч. 3 ст. 46 Конституции Российской Федерации права на обращение в межгосударственные органы по защите прав и свобод в современных условиях приобрела особую остроту. После прекращения участия России в европейском правозащитном механизме вопрос состоит уже не в формальном признании международных процедур, а в наличии реально действующих и институционально обеспеченных средств внешней защиты личности. В этом контексте показательно Постановление Президиума Верховного Суда Российской Федерации от 11.02.2026 по делу № 5-НАД25, в котором фактически был подтвержден необязательный характер мнений Комитета по правам человека ООН для внутреннего правоприменения. Тем самым проблема международной правозащиты была поставлена в плоскость эффективности внешних механизмов, а не их декларативного существования [9]. </w:t>
      </w:r>
    </w:p>
    <w:p w:rsidR="006912F5" w:rsidRPr="006912F5" w:rsidRDefault="006912F5" w:rsidP="006912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2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научной литературе данная проблема уже осмысляется как часть более широкой тенденции перехода от универсальных к региональным формам правового взаимодействия. С. Марочкин показывает, что после выхода России из юрисдикции ЕСПЧ конституционное право на обращение в межгосударственные органы нуждается в новом институциональном обеспечении [5]. С.Ю. Марочкин, Ю.С. Безбородов, М.А. Лихачев и Р.М. </w:t>
      </w:r>
      <w:proofErr w:type="spellStart"/>
      <w:r w:rsidRPr="006912F5">
        <w:rPr>
          <w:rFonts w:ascii="Times New Roman" w:eastAsia="Times New Roman" w:hAnsi="Times New Roman" w:cs="Times New Roman"/>
          <w:sz w:val="24"/>
          <w:szCs w:val="24"/>
          <w:lang w:eastAsia="ru-RU"/>
        </w:rPr>
        <w:t>Халафян</w:t>
      </w:r>
      <w:proofErr w:type="spellEnd"/>
      <w:r w:rsidRPr="006912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связывают это с общим усилением региональных и межрегиональных форм сотрудничества, способных воспринимать и перерабатывать правозащитную повестку в рамках евразийского пространства [8]. В их работе о евразийских странах и защите прав человека проблема поставлена уже применительно к возможности выработки специального механизма в одной из действующих евразийских структур [7]. В исследовании о сближении западных и азиатских правовых ценностей в перспективе ШОС подчеркивается, что региональный формат не обязательно противостоит универсальным стандартам, а может выступать способом их адаптации к иным историко-правовым и институциональным условиям [1]. Близкий вывод содержится и в работе о перспективах ШОС, где расширение сфер сотрудничества рассматривается как предпосылка к дальнейшему развитию правового и гуманитарного измерения Организации [6].</w:t>
      </w:r>
    </w:p>
    <w:p w:rsidR="006912F5" w:rsidRPr="006912F5" w:rsidRDefault="006912F5" w:rsidP="006912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2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Именно на этом фоне практика Суда ЕАЭС приобретает ключевое значение. Е.Б. Дьяченко и К.В. Энтин показывают, что в консультативной деятельности Суда ЕАЭС уже просматривается тенденция к закреплению общих принципов права Союза и к обращению к основным правам человека через сравнительный метод толкования и конституционные традиции государств-членов [3]. Это позволяет рассматривать Суд ЕАЭС не только как орган разрешения интеграционных вопросов, но и как институцию, в практике которой уже возникает </w:t>
      </w:r>
      <w:proofErr w:type="spellStart"/>
      <w:r w:rsidRPr="006912F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правочеловеческое</w:t>
      </w:r>
      <w:proofErr w:type="spellEnd"/>
      <w:r w:rsidRPr="006912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измерение права Союза.</w:t>
      </w:r>
    </w:p>
    <w:p w:rsidR="006912F5" w:rsidRPr="006912F5" w:rsidRDefault="006912F5" w:rsidP="006912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2F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 наглядно это проявилось в Консультативном заключении Суда ЕАЭС от 2 марта 2026 года. Формально предмет разъяснения касался обязательного медицинского страхования и медицинской помощи членам семьи трудящегося государства-члена в государстве трудоустройства. Однако по существу Суд столкнулся с вопросом о содержании социальных прав, равенстве правового положения трудящихся и пределах интеграционных га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рантий в сфере охраны здоровья</w:t>
      </w:r>
      <w:r w:rsidRPr="006912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[4]. </w:t>
      </w:r>
    </w:p>
    <w:p w:rsidR="006912F5" w:rsidRPr="006912F5" w:rsidRDefault="006912F5" w:rsidP="006912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2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Одновременно данное консультативное заключение выявило пределы нынешней модели. Суд разъяснил, что обязательное медицинское страхование и медицинская помощь в контексте ст. 98 Договора о Евразийском экономическом союзе представляют собой самостоятельные элементы регулирования, подчиненные различным нормативным режимам [4]. Это означает, что Суд ЕАЭС действует строго в пределах интеграционной </w:t>
      </w:r>
      <w:r w:rsidRPr="006912F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компетенции и не формирует автономный наднациональный каталог прав человека. Такой подход прямо соотносится с Договором о Евразийском экономическом союзе от 29 мая 2014 года. Приложение № 2. Статут Суда ЕАЭС, из которого следует, что спорная юрисдикция Суда связана с обращениями государств-членов и хозяйствующих субъектов, а не физических лиц вообще как носителей субъективных прав [2]. Следовательно, Суд ЕАЭС эффективно обеспечивает единообразное применение права Союза, однако его юрисдикция не предполагает полноценной наднациональной судебной защиты прав человека и не предусматривает универсального процессуального доступа индивида к такому механизму [2]. </w:t>
      </w:r>
    </w:p>
    <w:p w:rsidR="006912F5" w:rsidRPr="006912F5" w:rsidRDefault="006912F5" w:rsidP="006912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2F5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Именно поэтому практика Суда ЕАЭС имеет двойное значение. С одной стороны, она подтверждает, что евразийская интеграция уже порождает споры, затрагивающие социальные и иные права личности [4]. С другой стороны, она столь же ясно показывает институциональный разрыв между функционально эффективным судебным контролем за правом Союза и отсутствием специализированного наднационального механизма защиты прав человека [2]. В этом смысле практика Суда ЕАЭС свидетельствует о наличии устойчивого запроса на дальнейшее развитие правозащитных механизмов в евразийском пространстве, а обсуждение такой модели может закономерно выйти и на более широкую евразийскую площадку, включая правозащитное измерение ШОС [7].</w:t>
      </w:r>
    </w:p>
    <w:p w:rsidR="00DC1983" w:rsidRDefault="00DC1983" w:rsidP="00CC7302">
      <w:pPr>
        <w:spacing w:after="0" w:line="240" w:lineRule="auto"/>
        <w:ind w:firstLine="708"/>
      </w:pPr>
      <w:r w:rsidRPr="00DC1983">
        <w:rPr>
          <w:rFonts w:ascii="Times New Roman" w:eastAsia="Times New Roman" w:hAnsi="Times New Roman" w:cs="Times New Roman"/>
          <w:b/>
          <w:bCs/>
          <w:sz w:val="24"/>
          <w:szCs w:val="24"/>
        </w:rPr>
        <w:t>Литература</w:t>
      </w:r>
      <w:r w:rsidR="00CC7302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DC1983" w:rsidRPr="00DC1983" w:rsidRDefault="00DC1983" w:rsidP="006912F5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C198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Vinnichenko</w:t>
      </w:r>
      <w:proofErr w:type="spellEnd"/>
      <w:r w:rsidRPr="00DC198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O., </w:t>
      </w:r>
      <w:proofErr w:type="spellStart"/>
      <w:r w:rsidRPr="00DC198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Gladun</w:t>
      </w:r>
      <w:proofErr w:type="spellEnd"/>
      <w:r w:rsidRPr="00DC198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E., </w:t>
      </w:r>
      <w:proofErr w:type="spellStart"/>
      <w:r w:rsidRPr="00DC198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Busurmanov</w:t>
      </w:r>
      <w:proofErr w:type="spellEnd"/>
      <w:r w:rsidRPr="00DC198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C198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Zh</w:t>
      </w:r>
      <w:proofErr w:type="spellEnd"/>
      <w:r w:rsidRPr="00DC198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Convergence of Western and Asian Legal Values in the SCO Perspective // The Shanghai Cooperation Organization: Exploring New Horizons / ed. by S. </w:t>
      </w:r>
      <w:proofErr w:type="spellStart"/>
      <w:r w:rsidRPr="00DC198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Marochkin</w:t>
      </w:r>
      <w:proofErr w:type="spellEnd"/>
      <w:r w:rsidRPr="00DC198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Y. </w:t>
      </w:r>
      <w:proofErr w:type="spellStart"/>
      <w:r w:rsidRPr="00DC198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Bezborodov</w:t>
      </w:r>
      <w:proofErr w:type="spellEnd"/>
      <w:r w:rsidRPr="00DC198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proofErr w:type="spellStart"/>
      <w:r w:rsidRPr="00DC1983">
        <w:rPr>
          <w:rFonts w:ascii="Times New Roman" w:eastAsia="Times New Roman" w:hAnsi="Times New Roman" w:cs="Times New Roman"/>
          <w:sz w:val="24"/>
          <w:szCs w:val="24"/>
          <w:lang w:eastAsia="ru-RU"/>
        </w:rPr>
        <w:t>Abingdon</w:t>
      </w:r>
      <w:proofErr w:type="spellEnd"/>
      <w:r w:rsidRPr="00DC19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New York: </w:t>
      </w:r>
      <w:proofErr w:type="spellStart"/>
      <w:r w:rsidRPr="00DC1983">
        <w:rPr>
          <w:rFonts w:ascii="Times New Roman" w:eastAsia="Times New Roman" w:hAnsi="Times New Roman" w:cs="Times New Roman"/>
          <w:sz w:val="24"/>
          <w:szCs w:val="24"/>
          <w:lang w:eastAsia="ru-RU"/>
        </w:rPr>
        <w:t>Routledge</w:t>
      </w:r>
      <w:proofErr w:type="spellEnd"/>
      <w:r w:rsidRPr="00DC19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2022. P. 69-82. </w:t>
      </w:r>
    </w:p>
    <w:p w:rsidR="00DC1983" w:rsidRPr="00DC1983" w:rsidRDefault="00DC1983" w:rsidP="006912F5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9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 о Евразийском экономическом союзе от 29 мая 2014 года. Приложение № 2. Статут Суда Евразийского экономического союза. </w:t>
      </w:r>
    </w:p>
    <w:p w:rsidR="00DC1983" w:rsidRPr="00DC1983" w:rsidRDefault="00DC1983" w:rsidP="006912F5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9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Дьяченко Е.Б., Энтин К.В. Толкование с опорой на конституционные традиции государств-членов и защита прав человека Судом Европейского Союза и Судом Евразийского экономического союза // Журнал российского права. 2021. Т. 25. № 4. С. 173-186. </w:t>
      </w:r>
    </w:p>
    <w:p w:rsidR="00DC1983" w:rsidRPr="00DC1983" w:rsidRDefault="00DC1983" w:rsidP="006912F5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9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Консультативное заключение Суда ЕАЭС от 2 марта 2026 года. </w:t>
      </w:r>
    </w:p>
    <w:p w:rsidR="00DC1983" w:rsidRPr="00DC1983" w:rsidRDefault="00DC1983" w:rsidP="006912F5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9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Марочкин С. Решения международных судов и договорных органов по правам человека в российской судебной практике: новая реальность, первые результаты, возможные перспективы // Сравнительное конституционное обозрение. 2023. № 4. С. 32-55. </w:t>
      </w:r>
    </w:p>
    <w:p w:rsidR="00DC1983" w:rsidRPr="00DC1983" w:rsidRDefault="00DC1983" w:rsidP="006912F5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98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Марочкин</w:t>
      </w:r>
      <w:r w:rsidRPr="00DC198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C198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DC198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Pr="00DC1983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DC198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., </w:t>
      </w:r>
      <w:r w:rsidRPr="00DC1983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Безбородов</w:t>
      </w:r>
      <w:r w:rsidRPr="00DC198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C1983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DC198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Pr="00DC198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DC198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Some Thoughts on the Efficiency and Perspectives of the SCO // The Shanghai Cooperation Organization: Exploring New Horizons / ed. by S. </w:t>
      </w:r>
      <w:proofErr w:type="spellStart"/>
      <w:r w:rsidRPr="00DC198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Marochkin</w:t>
      </w:r>
      <w:proofErr w:type="spellEnd"/>
      <w:r w:rsidRPr="00DC198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Y. </w:t>
      </w:r>
      <w:proofErr w:type="spellStart"/>
      <w:r w:rsidRPr="00DC198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Bezborodov</w:t>
      </w:r>
      <w:proofErr w:type="spellEnd"/>
      <w:r w:rsidRPr="00DC198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proofErr w:type="spellStart"/>
      <w:r w:rsidRPr="00DC1983">
        <w:rPr>
          <w:rFonts w:ascii="Times New Roman" w:eastAsia="Times New Roman" w:hAnsi="Times New Roman" w:cs="Times New Roman"/>
          <w:sz w:val="24"/>
          <w:szCs w:val="24"/>
          <w:lang w:eastAsia="ru-RU"/>
        </w:rPr>
        <w:t>Abingdon</w:t>
      </w:r>
      <w:proofErr w:type="spellEnd"/>
      <w:r w:rsidRPr="00DC19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New York: </w:t>
      </w:r>
      <w:proofErr w:type="spellStart"/>
      <w:r w:rsidRPr="00DC1983">
        <w:rPr>
          <w:rFonts w:ascii="Times New Roman" w:eastAsia="Times New Roman" w:hAnsi="Times New Roman" w:cs="Times New Roman"/>
          <w:sz w:val="24"/>
          <w:szCs w:val="24"/>
          <w:lang w:eastAsia="ru-RU"/>
        </w:rPr>
        <w:t>Routledge</w:t>
      </w:r>
      <w:proofErr w:type="spellEnd"/>
      <w:r w:rsidRPr="00DC19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2022. P. 229-235. </w:t>
      </w:r>
    </w:p>
    <w:p w:rsidR="00DC1983" w:rsidRPr="00DC1983" w:rsidRDefault="00DC1983" w:rsidP="006912F5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C198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Marochkin</w:t>
      </w:r>
      <w:proofErr w:type="spellEnd"/>
      <w:r w:rsidRPr="00DC198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S., </w:t>
      </w:r>
      <w:proofErr w:type="spellStart"/>
      <w:r w:rsidRPr="00DC198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Bezborodov</w:t>
      </w:r>
      <w:proofErr w:type="spellEnd"/>
      <w:r w:rsidRPr="00DC198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Yu., </w:t>
      </w:r>
      <w:proofErr w:type="spellStart"/>
      <w:r w:rsidRPr="00DC198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Khalafyan</w:t>
      </w:r>
      <w:proofErr w:type="spellEnd"/>
      <w:r w:rsidRPr="00DC198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R., </w:t>
      </w:r>
      <w:proofErr w:type="spellStart"/>
      <w:r w:rsidRPr="00DC198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Likhachev</w:t>
      </w:r>
      <w:proofErr w:type="spellEnd"/>
      <w:r w:rsidRPr="00DC198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M. Eurasian Countries and Human Rights Protection: Perspectives and a Possible Mechanism for Cooperation // The BRICS Legal Cooperation and Perspectives / ed. by T. Du, X. Fei. </w:t>
      </w:r>
      <w:r w:rsidRPr="00DC19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Singapore: Springer, 2026. P. 49-76. </w:t>
      </w:r>
    </w:p>
    <w:p w:rsidR="00DC1983" w:rsidRPr="00DC1983" w:rsidRDefault="00DC1983" w:rsidP="006912F5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9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Марочкин С.Ю., Безбородов Ю.С., Лихачев М.А., </w:t>
      </w:r>
      <w:proofErr w:type="spellStart"/>
      <w:r w:rsidRPr="00DC1983">
        <w:rPr>
          <w:rFonts w:ascii="Times New Roman" w:eastAsia="Times New Roman" w:hAnsi="Times New Roman" w:cs="Times New Roman"/>
          <w:sz w:val="24"/>
          <w:szCs w:val="24"/>
          <w:lang w:eastAsia="ru-RU"/>
        </w:rPr>
        <w:t>Халафян</w:t>
      </w:r>
      <w:proofErr w:type="spellEnd"/>
      <w:r w:rsidRPr="00DC19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Р.М. Тенденции развития международного сотрудничества и правозащитных механизмов: от универсальных к региональным. </w:t>
      </w:r>
    </w:p>
    <w:p w:rsidR="00DC1983" w:rsidRPr="00DC1983" w:rsidRDefault="00DC1983" w:rsidP="006912F5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98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Президиума Верховного Суда Российской Федерации от 11.02.2026 по делу № 5-НАД25.</w:t>
      </w:r>
    </w:p>
    <w:p w:rsidR="00000000" w:rsidRDefault="00000000" w:rsidP="006912F5">
      <w:pPr>
        <w:spacing w:after="0" w:line="240" w:lineRule="auto"/>
        <w:jc w:val="both"/>
      </w:pPr>
    </w:p>
    <w:sectPr w:rsidR="00D90F5C" w:rsidSect="00F90E88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2C375F"/>
    <w:multiLevelType w:val="multilevel"/>
    <w:tmpl w:val="E3EED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19392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398"/>
    <w:rsid w:val="003E7996"/>
    <w:rsid w:val="003F4CAE"/>
    <w:rsid w:val="0049374B"/>
    <w:rsid w:val="006912F5"/>
    <w:rsid w:val="00701619"/>
    <w:rsid w:val="00947DB2"/>
    <w:rsid w:val="009F12DB"/>
    <w:rsid w:val="00CC7302"/>
    <w:rsid w:val="00D424D2"/>
    <w:rsid w:val="00DC1983"/>
    <w:rsid w:val="00E22398"/>
    <w:rsid w:val="00F641F9"/>
    <w:rsid w:val="00F90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05FF4"/>
  <w15:chartTrackingRefBased/>
  <w15:docId w15:val="{2D48EBE2-AF64-43B3-83E9-DA8E0FEF6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C19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C1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1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1017</Words>
  <Characters>5802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Biostar</dc:creator>
  <cp:keywords/>
  <dc:description/>
  <cp:lastModifiedBy>Полина Косарева</cp:lastModifiedBy>
  <cp:revision>3</cp:revision>
  <dcterms:created xsi:type="dcterms:W3CDTF">2026-05-14T17:38:00Z</dcterms:created>
  <dcterms:modified xsi:type="dcterms:W3CDTF">2026-05-14T17:39:00Z</dcterms:modified>
</cp:coreProperties>
</file>