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федеральное государственное бюджетное образовательное </w:t>
      </w: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учреждение высшего образования</w:t>
      </w: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«САХАЛИНСКИЙ ГОСУДАРСТВЕННЫЙ УНИВЕРСИТЕТ»</w:t>
      </w: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Институт естественных наук и </w:t>
      </w:r>
      <w:proofErr w:type="spellStart"/>
      <w:r w:rsidRPr="00BD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техносферной</w:t>
      </w:r>
      <w:proofErr w:type="spellEnd"/>
      <w:r w:rsidRPr="00BD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безопасности</w:t>
      </w: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Кафедра электроэнергетики и физики</w:t>
      </w: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BD61A9" w:rsidRDefault="00BD61A9" w:rsidP="00BD61A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E3C9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Реферат на тему:</w:t>
      </w:r>
    </w:p>
    <w:p w:rsid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61A9" w:rsidRPr="009E3C9C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3C9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BD61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еконструкция </w:t>
      </w:r>
      <w:proofErr w:type="spellStart"/>
      <w:r w:rsidRPr="00BD61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электроэнергосистемы</w:t>
      </w:r>
      <w:proofErr w:type="spellEnd"/>
      <w:r w:rsidRPr="00BD61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морской нефтедобывающей платформы</w:t>
      </w:r>
      <w:r w:rsidRPr="009E3C9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2A49B0" w:rsidRDefault="00BD61A9" w:rsidP="002A49B0">
      <w:pPr>
        <w:spacing w:after="0" w:line="240" w:lineRule="auto"/>
        <w:ind w:left="5245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A49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Выполнил</w:t>
      </w:r>
      <w:r w:rsidR="002A49B0" w:rsidRPr="002A49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BD61A9" w:rsidRPr="00BD61A9" w:rsidRDefault="00BD61A9" w:rsidP="00BD61A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A49B0" w:rsidRPr="002A49B0" w:rsidRDefault="00BD61A9" w:rsidP="002A49B0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9E3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 </w:t>
      </w:r>
      <w:r w:rsidR="001070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 </w:t>
      </w:r>
      <w:r w:rsidRPr="009E3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гр.</w:t>
      </w:r>
      <w:r w:rsidRPr="00ED05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070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Эи</w:t>
      </w:r>
      <w:proofErr w:type="gramStart"/>
      <w:r w:rsidR="001070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</w:t>
      </w:r>
      <w:proofErr w:type="spellEnd"/>
      <w:r w:rsidR="002A49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="002A49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</w:t>
      </w:r>
      <w:r w:rsidR="001070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</w:t>
      </w:r>
      <w:proofErr w:type="spellEnd"/>
      <w:r w:rsidR="002A49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9E3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BD61A9" w:rsidRPr="009E3C9C" w:rsidRDefault="00BD61A9" w:rsidP="00BD61A9">
      <w:pPr>
        <w:spacing w:after="0" w:line="240" w:lineRule="auto"/>
        <w:ind w:left="524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Карандашов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Илья Владимирович</w:t>
      </w:r>
    </w:p>
    <w:p w:rsid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61A9" w:rsidRPr="003F72D5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3F72D5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3F72D5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3F72D5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3F72D5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3F72D5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3F72D5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3F72D5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3F72D5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3F72D5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61A9" w:rsidRPr="00BD61A9" w:rsidRDefault="00BD61A9" w:rsidP="00BD61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61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Южно-Сахалинск</w:t>
      </w:r>
      <w:r w:rsidRPr="009E3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b/>
          <w:sz w:val="28"/>
          <w:szCs w:val="28"/>
        </w:rPr>
        <w:lastRenderedPageBreak/>
        <w:t>Ключевые слова:</w:t>
      </w:r>
      <w:r w:rsidRPr="00BD61A9">
        <w:rPr>
          <w:rFonts w:ascii="Times New Roman" w:hAnsi="Times New Roman" w:cs="Times New Roman"/>
          <w:sz w:val="28"/>
          <w:szCs w:val="28"/>
        </w:rPr>
        <w:t xml:space="preserve"> реконструкция,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электроэнергосистема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 xml:space="preserve">, морская платформа, газотурбинная установка, дизель-генератор, компенсация реактивной мощности, расчёт токов короткого замыкания, надёжность,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>.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1A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Морские нефтедобывающие платформы относятся к объектам первой категории надёжности электроснабжения, поскольку их отключение может привести к остановке технологического процесса добычи углеводородов, нарушению работы систем безопасности и созданию угрозы экологической аварии. В отличие от береговых промышленных предприятий, морские платформы функционируют как автономные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энергоузлы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>, не имеющие электрической связи с единой энергетической системой.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Актуальность исследования обусловлена необходимостью повышения надёжности и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электроэнергосистем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 xml:space="preserve"> морских платформ в условиях эксплуатации оборудования с истёкшим сроком службы,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 xml:space="preserve"> ограничений на поставку запчастей и требований международных стандартов к аварийному электроснабжению.</w:t>
      </w:r>
    </w:p>
    <w:p w:rsid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9B0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BD61A9">
        <w:rPr>
          <w:rFonts w:ascii="Times New Roman" w:hAnsi="Times New Roman" w:cs="Times New Roman"/>
          <w:sz w:val="28"/>
          <w:szCs w:val="28"/>
        </w:rPr>
        <w:t xml:space="preserve"> — разработка технических решений по реконструкции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электроэнергосистемы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 xml:space="preserve"> морской нефтедобывающей платформы с повышением надёжности электроснабжения потребителей первой категории и снижением удельных потерь электроэнергии.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1A9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В ходе исследования проведён анализ состояния существующей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электроэнергосистемы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>, включающий оценку технического состояния оборудования, анализ аварийной статистики и выявление ключевых проблем.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Выявлены следующие основные проблемы существующей системы:</w:t>
      </w:r>
    </w:p>
    <w:p w:rsidR="00BD61A9" w:rsidRPr="002A49B0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Высокий коэффициент износа основного оборудования (более 70%)</w:t>
      </w:r>
      <w:r w:rsidR="002A49B0" w:rsidRPr="002A49B0">
        <w:rPr>
          <w:rFonts w:ascii="Times New Roman" w:hAnsi="Times New Roman" w:cs="Times New Roman"/>
          <w:sz w:val="28"/>
          <w:szCs w:val="28"/>
        </w:rPr>
        <w:t>.</w:t>
      </w:r>
    </w:p>
    <w:p w:rsidR="00BD61A9" w:rsidRPr="002A49B0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lastRenderedPageBreak/>
        <w:t>Недостаточная мощность аварийного генератора для обеспечения пуска основных газовых турбин из обесточенного состояния</w:t>
      </w:r>
      <w:r w:rsidR="002A49B0" w:rsidRPr="002A49B0">
        <w:rPr>
          <w:rFonts w:ascii="Times New Roman" w:hAnsi="Times New Roman" w:cs="Times New Roman"/>
          <w:sz w:val="28"/>
          <w:szCs w:val="28"/>
        </w:rPr>
        <w:t>.</w:t>
      </w:r>
    </w:p>
    <w:p w:rsidR="00BD61A9" w:rsidRPr="002A49B0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Ограничения по току короткого замыкания в распределительном щите бурения, не позволяющие использовать полную мощность генерирующего оборудования</w:t>
      </w:r>
      <w:r w:rsidR="002A49B0" w:rsidRPr="002A49B0">
        <w:rPr>
          <w:rFonts w:ascii="Times New Roman" w:hAnsi="Times New Roman" w:cs="Times New Roman"/>
          <w:sz w:val="28"/>
          <w:szCs w:val="28"/>
        </w:rPr>
        <w:t>.</w:t>
      </w:r>
    </w:p>
    <w:p w:rsidR="00BD61A9" w:rsidRPr="002A49B0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Отсутствие системы компенсации реактивной мощности, что приводит к снижению коэффициента мощности и увеличению потерь в кабельных сетях</w:t>
      </w:r>
      <w:r w:rsidR="002A49B0" w:rsidRPr="002A49B0">
        <w:rPr>
          <w:rFonts w:ascii="Times New Roman" w:hAnsi="Times New Roman" w:cs="Times New Roman"/>
          <w:sz w:val="28"/>
          <w:szCs w:val="28"/>
        </w:rPr>
        <w:t>.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Высокие потери электроэнергии в кабельных сетях (5–8% </w:t>
      </w:r>
      <w:proofErr w:type="gramStart"/>
      <w:r w:rsidRPr="00BD61A9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BD61A9">
        <w:rPr>
          <w:rFonts w:ascii="Times New Roman" w:hAnsi="Times New Roman" w:cs="Times New Roman"/>
          <w:sz w:val="28"/>
          <w:szCs w:val="28"/>
        </w:rPr>
        <w:t xml:space="preserve"> нормативных ≤3%)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Разработаны технические решения по реконструкции: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Замена аварийного генератора на современный мощностью 2700 кВт</w:t>
      </w:r>
    </w:p>
    <w:p w:rsidR="00BD61A9" w:rsidRPr="002A49B0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Модернизация распределительных устройств с установкой вакуумных выключателей с большей отключающей способностью</w:t>
      </w:r>
      <w:r w:rsidR="002A49B0" w:rsidRPr="002A49B0">
        <w:rPr>
          <w:rFonts w:ascii="Times New Roman" w:hAnsi="Times New Roman" w:cs="Times New Roman"/>
          <w:sz w:val="28"/>
          <w:szCs w:val="28"/>
        </w:rPr>
        <w:t>.</w:t>
      </w:r>
    </w:p>
    <w:p w:rsidR="00BD61A9" w:rsidRPr="002A49B0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Внедрение системы компенсации реактивной мощности мощностью 2400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кВАр</w:t>
      </w:r>
      <w:proofErr w:type="spellEnd"/>
      <w:r w:rsidR="002A49B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Замена устаревших кабелей на </w:t>
      </w:r>
      <w:proofErr w:type="gramStart"/>
      <w:r w:rsidRPr="00BD61A9">
        <w:rPr>
          <w:rFonts w:ascii="Times New Roman" w:hAnsi="Times New Roman" w:cs="Times New Roman"/>
          <w:sz w:val="28"/>
          <w:szCs w:val="28"/>
        </w:rPr>
        <w:t>современные</w:t>
      </w:r>
      <w:proofErr w:type="gramEnd"/>
      <w:r w:rsidRPr="00BD61A9">
        <w:rPr>
          <w:rFonts w:ascii="Times New Roman" w:hAnsi="Times New Roman" w:cs="Times New Roman"/>
          <w:sz w:val="28"/>
          <w:szCs w:val="28"/>
        </w:rPr>
        <w:t xml:space="preserve"> с увеличенным сечением</w:t>
      </w:r>
    </w:p>
    <w:p w:rsidR="00BD61A9" w:rsidRPr="002A49B0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 xml:space="preserve"> системы релейной защиты с переходом на микропроцессорные терминалы</w:t>
      </w:r>
      <w:r w:rsidR="002A49B0" w:rsidRPr="002A49B0">
        <w:rPr>
          <w:rFonts w:ascii="Times New Roman" w:hAnsi="Times New Roman" w:cs="Times New Roman"/>
          <w:sz w:val="28"/>
          <w:szCs w:val="28"/>
        </w:rPr>
        <w:t>.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Выполнен расчёт электрических нагрузок методом упорядоченных диаграмм. Расчётная мощность платформы составляет более 5 МВт, требуемая генерирующая мощность с учётом коэффициента резервирования 1,25 — около 7,5 МВА.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lastRenderedPageBreak/>
        <w:t>Проведён расчёт токов короткого замыкания в характерных точках сети по ГОСТ 28249-93 и выполнена проверка выбранного оборудования по условиям КЗ.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1A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В результате проведённой работы разработан комплекс технических решений по реконструкции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электроэнергосистемы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 xml:space="preserve"> морской нефтедобывающей платформы, обеспечивающий:</w:t>
      </w:r>
    </w:p>
    <w:p w:rsidR="00BD61A9" w:rsidRPr="00BD61A9" w:rsidRDefault="00BD61A9" w:rsidP="00BD61A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Повышение надёжности электроснабжения потребителей первой категории до требуемого уровня</w:t>
      </w:r>
    </w:p>
    <w:p w:rsidR="00BD61A9" w:rsidRPr="00BD61A9" w:rsidRDefault="00BD61A9" w:rsidP="00BD61A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Снижение потерь электроэнергии в кабельных сетях на 15–20%</w:t>
      </w:r>
    </w:p>
    <w:p w:rsidR="00BD61A9" w:rsidRPr="00BD61A9" w:rsidRDefault="00BD61A9" w:rsidP="00BD61A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Увеличение коэффициента мощности с 0,8 до 0,95</w:t>
      </w:r>
    </w:p>
    <w:p w:rsidR="00BD61A9" w:rsidRPr="00BD61A9" w:rsidRDefault="00BD61A9" w:rsidP="00BD61A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Обеспечение соответствия требованиям международных стандартов к аварийному электроснабжению</w:t>
      </w: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Технико-экономическое обоснование показало, что капитальные затраты на реконструкцию составляют порядка 600 </w:t>
      </w:r>
      <w:proofErr w:type="gramStart"/>
      <w:r w:rsidRPr="00BD61A9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D61A9">
        <w:rPr>
          <w:rFonts w:ascii="Times New Roman" w:hAnsi="Times New Roman" w:cs="Times New Roman"/>
          <w:sz w:val="28"/>
          <w:szCs w:val="28"/>
        </w:rPr>
        <w:t xml:space="preserve"> руб., срок окупаемости — около 11 лет, годовая экономия — более 50 млн руб./год.</w:t>
      </w:r>
    </w:p>
    <w:p w:rsid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Практическая значимость работы заключается в возможности применения разработанных решений при проведении реконструкции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электроэнергосистем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 xml:space="preserve"> морских нефтедобывающих платформ и аналогичных объектов.</w:t>
      </w:r>
    </w:p>
    <w:p w:rsid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49B0" w:rsidRDefault="002A49B0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49B0" w:rsidRDefault="002A49B0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49B0" w:rsidRDefault="002A49B0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A49B0" w:rsidRPr="002A49B0" w:rsidRDefault="002A49B0" w:rsidP="00BD61A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61A9" w:rsidRPr="00BD61A9" w:rsidRDefault="00BD61A9" w:rsidP="00BD61A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1A9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</w:t>
      </w:r>
    </w:p>
    <w:p w:rsidR="00BD61A9" w:rsidRPr="00BD61A9" w:rsidRDefault="00BD61A9" w:rsidP="00BD61A9">
      <w:pPr>
        <w:pStyle w:val="a3"/>
        <w:numPr>
          <w:ilvl w:val="0"/>
          <w:numId w:val="2"/>
        </w:numPr>
        <w:spacing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>Правила устройства электроустановок (ПУЭ). 7-е изд. — М.: НЦ ЭНАС, 2023. — 648 с.</w:t>
      </w:r>
    </w:p>
    <w:p w:rsidR="00BD61A9" w:rsidRPr="00BD61A9" w:rsidRDefault="00BD61A9" w:rsidP="00BD61A9">
      <w:pPr>
        <w:pStyle w:val="a3"/>
        <w:numPr>
          <w:ilvl w:val="0"/>
          <w:numId w:val="2"/>
        </w:numPr>
        <w:spacing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ГОСТ 28249-93. Короткие замыкания в электроустановках. Методы расчета в электроустановках переменного тока напряжением до 1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 xml:space="preserve"> — М.: ИПК Издательство стандартов, 2020. — 32 с.</w:t>
      </w:r>
    </w:p>
    <w:p w:rsidR="00BD61A9" w:rsidRPr="00BD61A9" w:rsidRDefault="00BD61A9" w:rsidP="00BD61A9">
      <w:pPr>
        <w:pStyle w:val="a3"/>
        <w:numPr>
          <w:ilvl w:val="0"/>
          <w:numId w:val="2"/>
        </w:numPr>
        <w:spacing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РД5Р.6168-92. Методические указания по расчёту электрических нагрузок в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нефтегазодобыче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>. — М.: ВНИИОЭНГ, 1992. — 68 с.</w:t>
      </w:r>
    </w:p>
    <w:p w:rsidR="00BD61A9" w:rsidRDefault="00BD61A9" w:rsidP="00BD61A9">
      <w:pPr>
        <w:pStyle w:val="a3"/>
        <w:numPr>
          <w:ilvl w:val="0"/>
          <w:numId w:val="2"/>
        </w:numPr>
        <w:spacing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МЭК 61892-2:2019. Мобильные и стационарные морские установки. Электрические установки. Часть 2: Системы проектирования. —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Geneva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>: IEC, 2019.</w:t>
      </w:r>
    </w:p>
    <w:p w:rsidR="00BD61A9" w:rsidRPr="00BD61A9" w:rsidRDefault="00BD61A9" w:rsidP="00BD61A9">
      <w:pPr>
        <w:pStyle w:val="a3"/>
        <w:numPr>
          <w:ilvl w:val="0"/>
          <w:numId w:val="2"/>
        </w:numPr>
        <w:spacing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D61A9">
        <w:rPr>
          <w:rFonts w:ascii="Times New Roman" w:hAnsi="Times New Roman" w:cs="Times New Roman"/>
          <w:sz w:val="28"/>
          <w:szCs w:val="28"/>
        </w:rPr>
        <w:t xml:space="preserve">Сивков А.А.,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Сайгаш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 xml:space="preserve"> А.С., Герасимов Д.Ю. Основы электроснабжения: Учебное пособие. — М.: </w:t>
      </w:r>
      <w:proofErr w:type="spellStart"/>
      <w:r w:rsidRPr="00BD61A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D61A9">
        <w:rPr>
          <w:rFonts w:ascii="Times New Roman" w:hAnsi="Times New Roman" w:cs="Times New Roman"/>
          <w:sz w:val="28"/>
          <w:szCs w:val="28"/>
        </w:rPr>
        <w:t>, 2022. — 173</w:t>
      </w:r>
      <w:bookmarkStart w:id="0" w:name="_GoBack"/>
      <w:bookmarkEnd w:id="0"/>
      <w:r w:rsidRPr="00BD61A9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BD61A9" w:rsidRPr="00BD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54A"/>
    <w:multiLevelType w:val="hybridMultilevel"/>
    <w:tmpl w:val="FA426C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07F3F4F"/>
    <w:multiLevelType w:val="hybridMultilevel"/>
    <w:tmpl w:val="FD22BC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ED"/>
    <w:rsid w:val="001070FB"/>
    <w:rsid w:val="0018757B"/>
    <w:rsid w:val="002A49B0"/>
    <w:rsid w:val="004F4D58"/>
    <w:rsid w:val="006F60ED"/>
    <w:rsid w:val="007A0A22"/>
    <w:rsid w:val="007A393F"/>
    <w:rsid w:val="00BD61A9"/>
    <w:rsid w:val="00E4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Введение"/>
    <w:basedOn w:val="a"/>
    <w:next w:val="a"/>
    <w:link w:val="10"/>
    <w:qFormat/>
    <w:rsid w:val="004F4D58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ведение Знак"/>
    <w:basedOn w:val="a0"/>
    <w:link w:val="1"/>
    <w:rsid w:val="004F4D5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D6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Введение"/>
    <w:basedOn w:val="a"/>
    <w:next w:val="a"/>
    <w:link w:val="10"/>
    <w:qFormat/>
    <w:rsid w:val="004F4D58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Введение Знак"/>
    <w:basedOn w:val="a0"/>
    <w:link w:val="1"/>
    <w:rsid w:val="004F4D5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D6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4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17739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7878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49446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9997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3109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60290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13885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05860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97667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75388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6909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1663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96390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13410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40046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64158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7759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68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4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8971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95004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39011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91419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85317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5426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03985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04797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3293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73444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44210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2026-03-26T09:18:00Z</dcterms:created>
  <dcterms:modified xsi:type="dcterms:W3CDTF">2026-03-30T10:49:00Z</dcterms:modified>
</cp:coreProperties>
</file>