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A6FF" w14:textId="77777777" w:rsidR="007E48B7" w:rsidRDefault="007E48B7" w:rsidP="007E48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>АЛЛЕЛОПАТИЯ И ХИМИЯ ПОЧВЫ: ИДЕНТИФИКАЦИЯ ХИМИЧЕСКИХ ВЕЩЕСТВ, КОТОРЫЕ ВЫДЕЛЯЮТСЯ РАСТЕНИЯМИ И ПОДАВЛЯЮТ РОСТ СОСЕДЕЙ</w:t>
      </w:r>
    </w:p>
    <w:p w14:paraId="77C1C21F" w14:textId="77777777" w:rsidR="007E48B7" w:rsidRPr="007E48B7" w:rsidRDefault="007E48B7" w:rsidP="007E48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E23BB6" w14:textId="77777777" w:rsidR="007E48B7" w:rsidRPr="007E48B7" w:rsidRDefault="007E48B7" w:rsidP="007E48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i/>
          <w:iCs/>
          <w:sz w:val="24"/>
          <w:szCs w:val="24"/>
        </w:rPr>
        <w:t>Кучерова В.В.</w:t>
      </w:r>
    </w:p>
    <w:p w14:paraId="73197BFF" w14:textId="45397CEF" w:rsidR="007E48B7" w:rsidRPr="007E48B7" w:rsidRDefault="007E48B7" w:rsidP="007E48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>Студентка 3 курса</w:t>
      </w:r>
      <w:r w:rsidR="00D93573">
        <w:rPr>
          <w:rFonts w:ascii="Times New Roman" w:hAnsi="Times New Roman" w:cs="Times New Roman"/>
          <w:sz w:val="24"/>
          <w:szCs w:val="24"/>
        </w:rPr>
        <w:t xml:space="preserve"> </w:t>
      </w:r>
      <w:r w:rsidRPr="007E48B7">
        <w:rPr>
          <w:rFonts w:ascii="Times New Roman" w:hAnsi="Times New Roman" w:cs="Times New Roman"/>
          <w:sz w:val="24"/>
          <w:szCs w:val="24"/>
        </w:rPr>
        <w:t>факультета естествознания Адыгейского государственного университета, г. Майкоп</w:t>
      </w:r>
    </w:p>
    <w:p w14:paraId="33B6DF65" w14:textId="77777777" w:rsidR="007E48B7" w:rsidRPr="007E48B7" w:rsidRDefault="007E48B7" w:rsidP="007E48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Очерет Надежда Петровна</w:t>
      </w:r>
    </w:p>
    <w:p w14:paraId="09A505FA" w14:textId="77777777" w:rsidR="007E48B7" w:rsidRDefault="007E48B7" w:rsidP="007E48B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E48B7">
        <w:rPr>
          <w:rFonts w:ascii="Times New Roman" w:hAnsi="Times New Roman" w:cs="Times New Roman"/>
          <w:i/>
          <w:iCs/>
          <w:sz w:val="24"/>
          <w:szCs w:val="24"/>
        </w:rPr>
        <w:t>Кандидат химических наук, доцент кафедры химии факультета естествознания Адыгейского государственного университета, г. Майкоп</w:t>
      </w:r>
    </w:p>
    <w:p w14:paraId="5D9AE9D8" w14:textId="77777777" w:rsidR="007E48B7" w:rsidRPr="007E48B7" w:rsidRDefault="007E48B7" w:rsidP="007E4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30AF5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>Аллелопатия — это явление, при котором растения выделяют в окружающую среду химические вещества, влияющие на рост и развитие других растений. Этот феномен играет важную роль в природных экосистемах, определяя состав растительных сообществ, а также имеет большое значение в сельском хозяйстве, где может быть причиной снижения урожайности при монокультурном выращивании или неправильном севообороте [2, 5]. </w:t>
      </w:r>
      <w:r w:rsidRPr="007E48B7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7E48B7">
        <w:rPr>
          <w:rFonts w:ascii="Times New Roman" w:hAnsi="Times New Roman" w:cs="Times New Roman"/>
          <w:sz w:val="24"/>
          <w:szCs w:val="24"/>
        </w:rPr>
        <w:t xml:space="preserve"> данного исследования обусловлена необходимостью выявления и идентификации химических соединений, участвующих в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аллелопатическом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взаимодействии, что позволит разработать экологически безопасные методы борьбы с сорняками, оптимизировать севообороты и создать новые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биогербициды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на основе природных соединений [1, 3].</w:t>
      </w:r>
    </w:p>
    <w:p w14:paraId="13282941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проблемы.</w:t>
      </w:r>
      <w:r w:rsidRPr="007E48B7">
        <w:rPr>
          <w:rFonts w:ascii="Times New Roman" w:hAnsi="Times New Roman" w:cs="Times New Roman"/>
          <w:sz w:val="24"/>
          <w:szCs w:val="24"/>
        </w:rPr>
        <w:t xml:space="preserve"> Термин «аллелопатия» введен австрийским ученым Хансом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Молишем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в 1937 году. Систематические исследования начались во второй половине XX века. В России значительный вклад внесли ученые Института физиологии растений РАН, Всероссийского НИИ фитопатологии, Московского государственного университета [2, 4]. За рубежом активно работают исследовательские группы в США, Китае и странах Европы. Однако идентификация конкретных химических соединений, ответственных за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аллелопатический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эффект, и изучение механизмов их действия остаются сложной задачей из-за разнообразия выделяемых веществ и их трансформации в почве [1, 5].</w:t>
      </w:r>
    </w:p>
    <w:p w14:paraId="06C36AB3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7E48B7">
        <w:rPr>
          <w:rFonts w:ascii="Times New Roman" w:hAnsi="Times New Roman" w:cs="Times New Roman"/>
          <w:sz w:val="24"/>
          <w:szCs w:val="24"/>
        </w:rPr>
        <w:t xml:space="preserve"> работы является изучение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аллелопатических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взаимодействий растений и идентификация химических веществ, выделяемых растениями для подавления роста соседних видов.</w:t>
      </w:r>
    </w:p>
    <w:p w14:paraId="11E0FE77" w14:textId="77777777" w:rsidR="007E48B7" w:rsidRPr="007E48B7" w:rsidRDefault="007E48B7" w:rsidP="007E4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F8EDFDC" w14:textId="77777777" w:rsidR="007E48B7" w:rsidRPr="007E48B7" w:rsidRDefault="007E48B7" w:rsidP="007E48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Рассмотреть классификацию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активных веществ и механизмы их выделения растениями.</w:t>
      </w:r>
    </w:p>
    <w:p w14:paraId="272F09D0" w14:textId="77777777" w:rsidR="007E48B7" w:rsidRPr="007E48B7" w:rsidRDefault="007E48B7" w:rsidP="007E48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Изучить методы выделения и идентификации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аллелопатических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соединений из растительных тканей и почвы.</w:t>
      </w:r>
    </w:p>
    <w:p w14:paraId="52983306" w14:textId="77777777" w:rsidR="007E48B7" w:rsidRPr="007E48B7" w:rsidRDefault="007E48B7" w:rsidP="007E48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Проанализировать основные группы химических веществ, обладающих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аллелопатической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активностью.</w:t>
      </w:r>
    </w:p>
    <w:p w14:paraId="33EA4B71" w14:textId="77777777" w:rsidR="007E48B7" w:rsidRPr="007E48B7" w:rsidRDefault="007E48B7" w:rsidP="007E48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Оценить роль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аллелопатических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взаимодействий в природных экосистемах и агроценозах.</w:t>
      </w:r>
    </w:p>
    <w:p w14:paraId="3E5CF4DC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b/>
          <w:bCs/>
          <w:sz w:val="24"/>
          <w:szCs w:val="24"/>
        </w:rPr>
        <w:t>Методы исследования.</w:t>
      </w:r>
      <w:r w:rsidRPr="007E48B7">
        <w:rPr>
          <w:rFonts w:ascii="Times New Roman" w:hAnsi="Times New Roman" w:cs="Times New Roman"/>
          <w:sz w:val="24"/>
          <w:szCs w:val="24"/>
        </w:rPr>
        <w:t xml:space="preserve"> В работе использован метод обзора и анализа научной литературы. Изучены публикации в российских и международных журналах (Journal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Chemical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Allelopathy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Journal, «Физиология растений», «Агрохимия»), а также материалы научных конференций по проблемам аллелопатии и химической экологии растений.</w:t>
      </w:r>
    </w:p>
    <w:p w14:paraId="0F2A685A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b/>
          <w:bCs/>
          <w:sz w:val="24"/>
          <w:szCs w:val="24"/>
        </w:rPr>
        <w:t>Научные результаты и выводы.</w:t>
      </w:r>
      <w:r w:rsidRPr="007E48B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активные вещества (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аллелохимикаты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>) выделяются растениями несколькими путями: корневые выделения поступают непосредственно в почву; вымывание из листьев атмосферными осадками; испарение летучих соединений с поверхности листьев; выделение при разложении растительных остатков [2, 5].</w:t>
      </w:r>
    </w:p>
    <w:p w14:paraId="68F202A9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аллелопатических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соединений основана на их химической структуре. Основные группы включают: фенольные соединения (кофейная,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феруловая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кумаровая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</w:t>
      </w:r>
      <w:r w:rsidRPr="007E48B7">
        <w:rPr>
          <w:rFonts w:ascii="Times New Roman" w:hAnsi="Times New Roman" w:cs="Times New Roman"/>
          <w:sz w:val="24"/>
          <w:szCs w:val="24"/>
        </w:rPr>
        <w:lastRenderedPageBreak/>
        <w:t xml:space="preserve">кислоты, флавоноиды) — наиболее распространенная группа;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терпеноиды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(эфирные масла,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сесквитерпены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); алкалоиды (никотин, кофеин, берберин);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цианогенные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гликозиды;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гидроксамовые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кислоты; простые органические кислоты [1, 4].</w:t>
      </w:r>
    </w:p>
    <w:p w14:paraId="275CEF8D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Идентификация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аллелопатических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соединений представляет сложную аналитическую задачу. Выделение веществ из растительного материала или почвы включает экстракцию органическими растворителями, очистку колоночной хроматографией, разделение с помощью высокоэффективной жидкостной хроматографии (ВЭЖХ) или газовой хроматографии (ГХ). Идентификация проводится методами масс-спектрометрии и ядерно-магнитного резонанса (ЯМР) [3, 5].</w:t>
      </w:r>
    </w:p>
    <w:p w14:paraId="335ECC1D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Активность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аллелопатических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веществ зависит от их концентрации, состава почвы, активности почвенных микроорганизмов, которые могут трансформировать исходные соединения. Часто эффект обусловлен не одним веществом, а их комплексом [2, 4].</w:t>
      </w:r>
    </w:p>
    <w:p w14:paraId="56C950D9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Наиболее изученными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активными растениями являются: орех черный (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Juglans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nigra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), выделяющий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юглон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; полынь (Artemisia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.), содержащая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терпеноиды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>; эвкалипты (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Eucalyptus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>.), выделяющие фенольные соединения; сорго (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Sorghum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.), продуцирующее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гидроксамовые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кислоты; подсолнечник (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Helianthus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annuus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), корневые выделения которого содержат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сесквитерпеновые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лактоны [1, 5].</w:t>
      </w:r>
    </w:p>
    <w:p w14:paraId="042F6648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Механизмы действия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аллелопатических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соединений разнообразны. Они могут нарушать процессы фотосинтеза (ингибирование транспорта электронов), дыхания, деления клеток, проницаемость мембран, активность ферментов, поглощение минеральных элементов. Многие вещества действуют как гормональные антагонисты, подавляя синтез ауксинов, гиббереллинов и цитокининов [2, 3].</w:t>
      </w:r>
    </w:p>
    <w:p w14:paraId="29739CA4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В природных экосистемах аллелопатия играет важную роль в формировании растительных сообществ. Благодаря выделению ингибирующих веществ некоторые виды создают условия, препятствующие развитию других растений, и доминируют в сообществе.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Аллелопатические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взаимодействия также объясняют явление почвоутомления — снижения урожайности при длительном выращивании одной культуры на одном месте [4, 5].</w:t>
      </w:r>
    </w:p>
    <w:p w14:paraId="534D1A2A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В сельском хозяйстве знание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аллелопатических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взаимодействий позволяет оптимизировать севообороты, использовать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активные растения в качестве сидератов для подавления сорняков, создавать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биогербициды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на основе природных соединений. Перспективным направлением является поиск растений с высокой активностью против злостных сорняков (пырей, осот, амброзия) [1, 3].</w:t>
      </w:r>
    </w:p>
    <w:p w14:paraId="4FF1AE40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Современные методы генетики и молекулярной биологии позволяют изучать аллелопатию на молекулярном уровне. Идентифицированы гены, ответственные за синтез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аллелопатических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соединений, что открывает возможности для создания культурных растений с повышенной конкурентоспособностью к сорнякам [2, 5].</w:t>
      </w:r>
    </w:p>
    <w:p w14:paraId="05B6A3CC" w14:textId="77777777" w:rsidR="007E48B7" w:rsidRPr="007E48B7" w:rsidRDefault="007E48B7" w:rsidP="007E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Таким образом, аллелопатия представляет собой сложный химический механизм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межрастительного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взаимодействия, основанный на выделении в почву биологически активных соединений. Идентификация этих веществ требует применения современных аналитических методов — хроматографии, масс-спектрометрии, ЯМР-спектроскопии. Основными группами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активных соединений являются фенолы,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терпеноиды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, алкалоиды, органические кислоты. Понимание химической природы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аллелопатических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взаимодействий имеет важное значение для экологии, сельского хозяйства и охраны окружающей среды.</w:t>
      </w:r>
    </w:p>
    <w:p w14:paraId="4AB674B8" w14:textId="77777777" w:rsidR="007E48B7" w:rsidRPr="007E48B7" w:rsidRDefault="007E48B7" w:rsidP="007E4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54A885BE" w14:textId="77777777" w:rsidR="007E48B7" w:rsidRPr="007E48B7" w:rsidRDefault="007E48B7" w:rsidP="007E48B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Гродзинский А.М. Аллелопатия растений. Киев: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думка, 2021. 328 с.</w:t>
      </w:r>
    </w:p>
    <w:p w14:paraId="601FAE20" w14:textId="77777777" w:rsidR="007E48B7" w:rsidRPr="007E48B7" w:rsidRDefault="007E48B7" w:rsidP="007E48B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>Захаренко В.А., Петрова Н.Г. Химическое взаимодействие растений в агроценозах // Агрохимия. 2023. № 4. С. 12–21.</w:t>
      </w:r>
    </w:p>
    <w:p w14:paraId="3A67F53D" w14:textId="77777777" w:rsidR="007E48B7" w:rsidRPr="007E48B7" w:rsidRDefault="007E48B7" w:rsidP="007E48B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8B7">
        <w:rPr>
          <w:rFonts w:ascii="Times New Roman" w:hAnsi="Times New Roman" w:cs="Times New Roman"/>
          <w:sz w:val="24"/>
          <w:szCs w:val="24"/>
        </w:rPr>
        <w:t xml:space="preserve">Матвеев Н.М., Соколова Т.А. Методы выделения и идентификации </w:t>
      </w:r>
      <w:proofErr w:type="spellStart"/>
      <w:r w:rsidRPr="007E48B7">
        <w:rPr>
          <w:rFonts w:ascii="Times New Roman" w:hAnsi="Times New Roman" w:cs="Times New Roman"/>
          <w:sz w:val="24"/>
          <w:szCs w:val="24"/>
        </w:rPr>
        <w:t>аллелопатически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активных веществ // Физиология растений. 2024. Т. 71. № 2. С. 145–158.</w:t>
      </w:r>
    </w:p>
    <w:p w14:paraId="30537A10" w14:textId="56C11C6C" w:rsidR="00224119" w:rsidRPr="007E48B7" w:rsidRDefault="007E48B7" w:rsidP="007E48B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8B7">
        <w:rPr>
          <w:rFonts w:ascii="Times New Roman" w:hAnsi="Times New Roman" w:cs="Times New Roman"/>
          <w:sz w:val="24"/>
          <w:szCs w:val="24"/>
        </w:rPr>
        <w:t>Розенцвет</w:t>
      </w:r>
      <w:proofErr w:type="spellEnd"/>
      <w:r w:rsidRPr="007E48B7">
        <w:rPr>
          <w:rFonts w:ascii="Times New Roman" w:hAnsi="Times New Roman" w:cs="Times New Roman"/>
          <w:sz w:val="24"/>
          <w:szCs w:val="24"/>
        </w:rPr>
        <w:t xml:space="preserve"> О.А., Нестеров В.Н. Аллелопатия как фактор регуляции растительных сообществ // Экология. 2023. № 5. С. 323–332.</w:t>
      </w:r>
    </w:p>
    <w:p w14:paraId="572E8C38" w14:textId="262276ED" w:rsidR="007E48B7" w:rsidRPr="007E48B7" w:rsidRDefault="007E48B7" w:rsidP="007E48B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E48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Райс Э. Л. Аллелопатия. 3-е изд. Орландо: </w:t>
      </w:r>
      <w:proofErr w:type="spellStart"/>
      <w:r w:rsidRPr="007E48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Academic</w:t>
      </w:r>
      <w:proofErr w:type="spellEnd"/>
      <w:r w:rsidRPr="007E48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Press, 2022. 422 С.</w:t>
      </w:r>
    </w:p>
    <w:sectPr w:rsidR="007E48B7" w:rsidRPr="007E48B7" w:rsidSect="007E48B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35EEB"/>
    <w:multiLevelType w:val="multilevel"/>
    <w:tmpl w:val="4A50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D7E22"/>
    <w:multiLevelType w:val="multilevel"/>
    <w:tmpl w:val="7BA4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4758B"/>
    <w:multiLevelType w:val="multilevel"/>
    <w:tmpl w:val="533A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6620DF"/>
    <w:multiLevelType w:val="multilevel"/>
    <w:tmpl w:val="617A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A4F3F"/>
    <w:multiLevelType w:val="multilevel"/>
    <w:tmpl w:val="C21A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C1496D"/>
    <w:multiLevelType w:val="multilevel"/>
    <w:tmpl w:val="23F4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374819">
    <w:abstractNumId w:val="2"/>
  </w:num>
  <w:num w:numId="2" w16cid:durableId="405954891">
    <w:abstractNumId w:val="1"/>
  </w:num>
  <w:num w:numId="3" w16cid:durableId="230426926">
    <w:abstractNumId w:val="0"/>
  </w:num>
  <w:num w:numId="4" w16cid:durableId="738210420">
    <w:abstractNumId w:val="3"/>
  </w:num>
  <w:num w:numId="5" w16cid:durableId="1770999575">
    <w:abstractNumId w:val="4"/>
  </w:num>
  <w:num w:numId="6" w16cid:durableId="485517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19"/>
    <w:rsid w:val="00224119"/>
    <w:rsid w:val="00537DE3"/>
    <w:rsid w:val="007E48B7"/>
    <w:rsid w:val="00D93573"/>
    <w:rsid w:val="00D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01A9"/>
  <w15:chartTrackingRefBased/>
  <w15:docId w15:val="{E3210511-4230-4A6F-8CB5-236E3B8D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7E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7E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086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4812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693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3083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2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7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501B-7B7D-44E9-B3DA-3CDC28C6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Лариса Гузеева</cp:lastModifiedBy>
  <cp:revision>5</cp:revision>
  <dcterms:created xsi:type="dcterms:W3CDTF">2026-03-22T09:05:00Z</dcterms:created>
  <dcterms:modified xsi:type="dcterms:W3CDTF">2026-03-25T12:14:00Z</dcterms:modified>
</cp:coreProperties>
</file>