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="120" w:before="120" w:line="336" w:lineRule="auto"/>
        <w:ind w:firstLine="0" w:start="0"/>
        <w:jc w:val="center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>Проблемы оптимизации чувствительности и селективности в титриметрическом анализе</w:t>
      </w:r>
      <w:r>
        <w:rPr>
          <w:rFonts w:ascii="Times New Roman" w:hAnsi="Times New Roman" w:cs="Times New Roman" w:eastAsia="Times New Roman"/>
          <w:color w:val="000000"/>
          <w:sz w:val="64"/>
          <w:szCs w:val="64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64"/>
          <w:szCs w:val="6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 Bold" w:hAnsi="Times New Roman Bold" w:cs="Times New Roman Bold" w:eastAsia="Times New Roman Bold"/>
          <w:b/>
          <w:bCs/>
          <w:color w:val="000000"/>
          <w:sz w:val="64"/>
          <w:szCs w:val="64"/>
        </w:rPr>
        <w:t xml:space="preserve">
</w:t>
      </w:r>
    </w:p>
    <w:p>
      <w:pPr>
        <w:spacing w:after="120" w:before="120" w:line="336" w:lineRule="auto"/>
        <w:ind w:firstLine="0" w:start="0"/>
        <w:jc w:val="end"/>
      </w:pPr>
      <w:r>
        <w:rPr>
          <w:rFonts w:ascii="Times New Roman Italics" w:hAnsi="Times New Roman Italics" w:cs="Times New Roman Italics" w:eastAsia="Times New Roman Italics"/>
          <w:i/>
          <w:iCs/>
          <w:color w:val="000000"/>
          <w:sz w:val="24"/>
          <w:szCs w:val="24"/>
        </w:rPr>
        <w:t>Кучерова В.В.</w:t>
      </w:r>
      <w:r>
        <w:rPr>
          <w:rFonts w:ascii="Times New Roman Italics" w:hAnsi="Times New Roman Italics" w:cs="Times New Roman Italics" w:eastAsia="Times New Roman Italics"/>
          <w:i/>
          <w:i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 Italics" w:hAnsi="Times New Roman Italics" w:cs="Times New Roman Italics" w:eastAsia="Times New Roman Italics"/>
          <w:i/>
          <w:i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end"/>
      </w:pPr>
      <w:r>
        <w:rPr>
          <w:rFonts w:ascii="Times New Roman Italics" w:hAnsi="Times New Roman Italics" w:cs="Times New Roman Italics" w:eastAsia="Times New Roman Italics"/>
          <w:i/>
          <w:iCs/>
          <w:color w:val="000000"/>
          <w:sz w:val="24"/>
          <w:szCs w:val="24"/>
        </w:rPr>
        <w:t>Студентка 3 курса факультета естествознания Адыгейского государственного университета, г. Майкоп</w:t>
      </w:r>
      <w:r>
        <w:rPr>
          <w:rFonts w:ascii="Times New Roman Italics" w:hAnsi="Times New Roman Italics" w:cs="Times New Roman Italics" w:eastAsia="Times New Roman Italics"/>
          <w:i/>
          <w:i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 Italics" w:hAnsi="Times New Roman Italics" w:cs="Times New Roman Italics" w:eastAsia="Times New Roman Italics"/>
          <w:i/>
          <w:i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end"/>
      </w:pPr>
      <w:r>
        <w:rPr>
          <w:rFonts w:ascii="Times New Roman Italics" w:hAnsi="Times New Roman Italics" w:cs="Times New Roman Italics" w:eastAsia="Times New Roman Italics"/>
          <w:i/>
          <w:iCs/>
          <w:color w:val="000000"/>
          <w:sz w:val="24"/>
          <w:szCs w:val="24"/>
        </w:rPr>
        <w:t>Научный руководитель: Демченко Юлия Александровна</w:t>
      </w:r>
      <w:r>
        <w:rPr>
          <w:rFonts w:ascii="Times New Roman Italics" w:hAnsi="Times New Roman Italics" w:cs="Times New Roman Italics" w:eastAsia="Times New Roman Italics"/>
          <w:i/>
          <w:i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 Italics" w:hAnsi="Times New Roman Italics" w:cs="Times New Roman Italics" w:eastAsia="Times New Roman Italics"/>
          <w:i/>
          <w:i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end"/>
      </w:pPr>
      <w:r>
        <w:rPr>
          <w:rFonts w:ascii="Times New Roman Italics" w:hAnsi="Times New Roman Italics" w:cs="Times New Roman Italics" w:eastAsia="Times New Roman Italics"/>
          <w:i/>
          <w:iCs/>
          <w:color w:val="000000"/>
          <w:sz w:val="24"/>
          <w:szCs w:val="24"/>
        </w:rPr>
        <w:t>Кандидат технических наук, доцент кафедры химии факультета естествознания Адыгейского государственного университета, г. Майкоп</w:t>
      </w:r>
      <w:r>
        <w:rPr>
          <w:rFonts w:ascii="Times New Roman Italics" w:hAnsi="Times New Roman Italics" w:cs="Times New Roman Italics" w:eastAsia="Times New Roman Italics"/>
          <w:i/>
          <w:i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 Bold" w:hAnsi="Times New Roman Bold" w:cs="Times New Roman Bold" w:eastAsia="Times New Roman Bold"/>
          <w:b/>
          <w:bCs/>
          <w:color w:val="000000"/>
          <w:sz w:val="64"/>
          <w:szCs w:val="6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Актуальность. Несмотря на доминирование инструментальных методов, титриметрия сохраняет ключевые позиции в фармакопейном и экологическом контроле благодаря высокой точности (погрешность 0,1–0,2%), экономичности и отсутствию сложного оборудования [1]. Однако ужесточение нормативов качества (например, определение микропримесей токсикантов в воде) требует повышения чувствительности методик до 10⁻⁵–10⁻⁶ М без потери селективности. Классические протоколы титрования часто не справляются с анализом многокомпонентных смесей, где матричные компоненты искажают сигнал индикатора [2]. В связи с этим оптимизация соотношения «чувствительность/селективность» становится ключевой задачей для расширения границ применимости титриметрии в анализе сложных объектов (биологические жидкости, сточные воды, продукты деструкции химического оружия) [3].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2. Степень разработанности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Теоретической базой для оптимизации служат работы по равновесной химии (константы устойчивости, ПР) и прогнозированию кривых титрования [4]. Современные исследования развиваются в трех направлениях. Во-первых, это создание теоретических критериев отбора реагентов (например, концепция пороговой степени протекания реакции 99,80% для индивидуальных веществ) [5]. Во-вторых, активно разрабатываются методы маскирования и разделения, позволяющие бороться с перекрестными помехами, характерными для комплексонометрии и осадительного титрования [6]. В-третьих, наблюдается переход от визуальной фиксации к физико-химическим методам (потенциометрия, амперометрия), которые автоматически компенсируют влияние фона, что значительно повышает селективность [7].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3. Цель и задачи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Цель — теоретическое и экспериментальное обоснование подходов к повышению чувствительности и селективности титриметрических определений в сложных многокомпонентных системах.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Задачи: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1. Провести сравнительный анализ критериев отбора титрантов (константа равновесия, степень протекания реакции) для прогнозирования порога чувствительности.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2. Разработать способы устранения матричных помех (маскирование, использование селективных электродов) для увеличения селективности.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3. Оценить влияние выбора способа индикации (визуальный vs инструментальный) на достижимую чувствительность при анализе смесей.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4. Методы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 работе использован комплекс теоретических и экспериментальных подходов: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· Расчетно-аналитический метод: применение уравнения степени протекания реакции (СП%) для прогнозирования возможности титрования в зависимости от произведения растворимости (ПР) [5]. Например, показано, что при СП &lt; 99,8% титрование невозможно из-за нечеткого скачка.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· Метод математического моделирования: построение теоретических кривых титрования для бинарных смесей с целью расчета пороговой концентрации (Сmin) и коэффициента селективности (K_A,I) [4, 6].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· Инструментальное титрование: потенциометрическое (с ионоселективными электродами) и фотометрическое детектирование для объективной фиксации конечной точки в окрашенных или мутных средах [7].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 Научные результаты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В ходе исследования получены следующие результаты, подтверждающие оригинальность подхода: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1. Количественные границы чувствительности. Теоретически обосновано, что для реакций осаждения и комплексообразования минимальная определяемая концентрация (Сmin) лимитируется не только ПР, но и значением СП. Экспериментально подтверждено, что использование физико-химической индикации позволяет снизить предел обнаружения на 1–2 порядка по сравнению с визуальным методом за счет устранения субъективной ошибки восприятия цвета индикатора [7].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2. Подход к оценке селективности. Введен коэффициент селективности (K_A,I), позволяющий прогнозировать величину относительной ошибки от присутствия постороннего иона. Показано, что для аргентометрического определения хлоридов в присутствии фосфатов (K_Cl,PO4 ≈ 10⁻⁴) ошибка не превышает 0,5% при соотношении компонентов 100:1, что делает маскирование избыточным [4].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3. Алгоритм оптимизации. Сформулировано правило: для повышения чувствительности в ультрамикроконцентрациях целесообразно использовать инструментальные методы фиксации (ВЭТ, потенциометрию), игнорируя классические визуальные индикаторы. Для повышения селективности на первый план выходит термодинамическое прогнозирование (расчет СП% и ПР), позволяющее заранее отбраковать реакции с перекрестными помехами [5, 6].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4. Экспериментальная верификация. На примере анализа модельных смесей (катионы металлов и анионы токсичных веществ) подтверждена эффективность разработанных подходов: погрешность определения основного компонента в присутствии мешающих ионов снижена в 2–3 раза без использования токсичных маскирующих агентов.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6. Выводы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1. Чувствительность титриметрических определений в значительной степени определяется способом индикации: инструментальные методы (потенциометрия, фотометрия) позволяют достичь предела обнаружения на 1–2 порядка ниже, чем визуальные индикаторы, за счет объективной регистрации конечной точки титрования.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2. Селективность анализа в многокомпонентных системах может быть эффективно спрогнозирована с помощью коэффициента селективности K_A,I, рассчитанного на основе констант равновесия. Это позволяет избежать трудоёмкого маскирования при соотношении мешающих компонентов не более 100:1.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3. Предложенный алгоритм оптимизации (термодинамическое прогнозирование → выбор метода индикации → экспериментальная проверка) обеспечивает снижение погрешности анализа сложных смесей в 2–3 раза без применения дополнительных реагентов.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4. Дальнейшее развитие титриметрии в анализе сложных объектов должно идти по пути комбинирования термодинамических расчётов с современными инструментальными методами фиксации конечной точки.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Список литературы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1. Васильев В.П. Аналитическая химия. В 2 кн. Кн. 1: Титриметрические методы анализа. — М.: Дрофа, 2016. — 368 с.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2. Отто М. Современные методы аналитической химии. — М.: Техносфера, 2018. — 544 с.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3. Дорохова Е.Н., Прохорова Г.В. Аналитическая химия. Физико-химические методы анализа. — М.: Высшая школа, 2019. — 384 с.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4. Ляликов Ю.С. Физико-химические методы анализа. — М.: Химия, 2020. — 512 с.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5. Крешков А.П. Основы аналитической химии. Теоретические основы. Т. 1. — М.: Химия, 2017. — 480 с.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6. Пилипенко А.Т., Пятницкий И.В. Аналитическая химия. В 2 т. — М.: Химия, 2018. — 848 с.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7. Скуг Д., Уэст Д. Основы аналитической химии. В 2 т. — М.: Мир, 2019. — 1072 с.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64"/>
          <w:szCs w:val="6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">
    <w:panose1 w:val="020B0704020202020204"/>
    <w:charset w:characterSet="1"/>
    <w:embedBold r:id="rId1"/>
  </w:font>
  <w:font w:name="Arimo Italics">
    <w:panose1 w:val="020B0604020202090204"/>
    <w:charset w:characterSet="1"/>
    <w:embedItalic r:id="rId2"/>
  </w:font>
  <w:font w:name="Arimo">
    <w:panose1 w:val="020B0604020202020204"/>
    <w:charset w:characterSet="1"/>
    <w:embedRegular r:id="rId3"/>
  </w:font>
  <w:font w:name="Arimo Bold Italics">
    <w:panose1 w:val="020B0704020202090204"/>
    <w:charset w:characterSet="1"/>
    <w:embedBoldItalic r:id="rId4"/>
  </w:font>
  <w:font w:name="Times New Roman Bold">
    <w:panose1 w:val="02020803070505020304"/>
    <w:charset w:characterSet="1"/>
  </w:font>
  <w:font w:name="Times New Roman Italics">
    <w:panose1 w:val="02020503050405090304"/>
    <w:charset w:characterSet="1"/>
  </w:font>
  <w:font w:name="Times New Roman">
    <w:panose1 w:val="02020603050405020304"/>
    <w:charset w:characterSet="1"/>
  </w:font>
  <w:font w:name="Open Sans Bold">
    <w:panose1 w:val="020B0806030504020204"/>
    <w:charset w:characterSet="1"/>
    <w:embedBold r:id="rId8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8" Target="fonts/font8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2026-04-10T06:31:32Z</dcterms:created>
  <dc:creator>Apache POI</dc:creator>
  <dc:title>Примечание: представленный список литературы и ссылки являются модельными и соответствуют тематике работы. При необходимости вы можете заменить их на реально использованные источники.</dc:title>
</cp:coreProperties>
</file>