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C1" w:rsidRDefault="002C5CCC">
      <w:pPr>
        <w:pStyle w:val="StandardWW"/>
        <w:jc w:val="center"/>
        <w:rPr>
          <w:rFonts w:hint="eastAsia"/>
        </w:rPr>
      </w:pPr>
      <w:bookmarkStart w:id="0" w:name="_GoBack"/>
      <w:bookmarkEnd w:id="0"/>
      <w:r>
        <w:rPr>
          <w:rFonts w:ascii="Times New Roman" w:hAnsi="Times New Roman"/>
          <w:b/>
          <w:bCs/>
        </w:rPr>
        <w:t>ЦИФРОВЫЕ ФИНАНСОВЫЕ АКТИВЫ КАК ОБЪЕКТЫ ГРАЖДАНСКИХ ПРАВ И ИХ ОБОРОТ</w:t>
      </w:r>
    </w:p>
    <w:p w:rsidR="00060DC1" w:rsidRDefault="00060DC1">
      <w:pPr>
        <w:pStyle w:val="StandardWW"/>
        <w:jc w:val="center"/>
        <w:rPr>
          <w:rFonts w:ascii="Times New Roman" w:hAnsi="Times New Roman"/>
          <w:b/>
          <w:bCs/>
        </w:rPr>
      </w:pPr>
    </w:p>
    <w:p w:rsidR="00060DC1" w:rsidRDefault="002C5CCC">
      <w:pPr>
        <w:pStyle w:val="StandardWW"/>
        <w:jc w:val="right"/>
        <w:rPr>
          <w:rFonts w:hint="eastAsia"/>
        </w:rPr>
      </w:pPr>
      <w:r>
        <w:rPr>
          <w:rFonts w:ascii="Times New Roman" w:hAnsi="Times New Roman"/>
          <w:i/>
          <w:iCs/>
        </w:rPr>
        <w:t>Мещерякова М.В.</w:t>
      </w:r>
    </w:p>
    <w:p w:rsidR="00060DC1" w:rsidRDefault="002C5CCC">
      <w:pPr>
        <w:pStyle w:val="StandardWW"/>
        <w:jc w:val="right"/>
        <w:rPr>
          <w:rFonts w:hint="eastAsia"/>
        </w:rPr>
      </w:pPr>
      <w:r>
        <w:rPr>
          <w:rFonts w:ascii="Times New Roman" w:hAnsi="Times New Roman"/>
          <w:i/>
          <w:iCs/>
        </w:rPr>
        <w:t>ФГБОУ ВО «Адыгейский государственный университет»</w:t>
      </w:r>
    </w:p>
    <w:p w:rsidR="00060DC1" w:rsidRDefault="002C5CCC">
      <w:pPr>
        <w:pStyle w:val="StandardWW"/>
        <w:jc w:val="right"/>
        <w:rPr>
          <w:rFonts w:hint="eastAsia"/>
        </w:rPr>
      </w:pPr>
      <w:r>
        <w:rPr>
          <w:rFonts w:ascii="Times New Roman" w:hAnsi="Times New Roman"/>
          <w:i/>
          <w:iCs/>
        </w:rPr>
        <w:t>г. Майкоп</w:t>
      </w:r>
    </w:p>
    <w:p w:rsidR="00060DC1" w:rsidRDefault="002C5CCC">
      <w:pPr>
        <w:pStyle w:val="StandardWW"/>
        <w:jc w:val="right"/>
        <w:rPr>
          <w:rFonts w:hint="eastAsia"/>
        </w:rPr>
      </w:pPr>
      <w:r>
        <w:rPr>
          <w:rFonts w:ascii="Times New Roman" w:hAnsi="Times New Roman"/>
          <w:i/>
          <w:iCs/>
        </w:rPr>
        <w:t>Научный руководитель: Хаконова И.Б.,</w:t>
      </w:r>
    </w:p>
    <w:p w:rsidR="00060DC1" w:rsidRDefault="002C5CCC">
      <w:pPr>
        <w:pStyle w:val="StandardWW"/>
        <w:jc w:val="right"/>
        <w:rPr>
          <w:rFonts w:hint="eastAsia"/>
        </w:rPr>
      </w:pPr>
      <w:r>
        <w:rPr>
          <w:rFonts w:ascii="Times New Roman" w:hAnsi="Times New Roman"/>
          <w:i/>
          <w:iCs/>
        </w:rPr>
        <w:t>к.юр.н.,доцент, ФГБОУ ВО</w:t>
      </w:r>
    </w:p>
    <w:p w:rsidR="00060DC1" w:rsidRDefault="002C5CCC">
      <w:pPr>
        <w:pStyle w:val="StandardWW"/>
        <w:jc w:val="right"/>
        <w:rPr>
          <w:rFonts w:hint="eastAsia"/>
        </w:rPr>
      </w:pPr>
      <w:r>
        <w:rPr>
          <w:rFonts w:ascii="Times New Roman" w:hAnsi="Times New Roman"/>
          <w:i/>
          <w:iCs/>
        </w:rPr>
        <w:t>«Адыгейский государственный университет»</w:t>
      </w:r>
    </w:p>
    <w:p w:rsidR="00060DC1" w:rsidRDefault="002C5CCC">
      <w:pPr>
        <w:pStyle w:val="StandardWW"/>
        <w:jc w:val="right"/>
        <w:rPr>
          <w:rFonts w:hint="eastAsia"/>
        </w:rPr>
      </w:pPr>
      <w:r>
        <w:rPr>
          <w:rFonts w:ascii="Times New Roman" w:hAnsi="Times New Roman"/>
          <w:i/>
          <w:iCs/>
        </w:rPr>
        <w:t>г. Майкоп</w:t>
      </w:r>
    </w:p>
    <w:p w:rsidR="00060DC1" w:rsidRDefault="00060DC1">
      <w:pPr>
        <w:pStyle w:val="StandardWW"/>
        <w:jc w:val="both"/>
        <w:rPr>
          <w:rFonts w:ascii="Times New Roman" w:hAnsi="Times New Roman"/>
        </w:rPr>
      </w:pPr>
    </w:p>
    <w:p w:rsidR="00060DC1" w:rsidRDefault="002C5CCC">
      <w:pPr>
        <w:pStyle w:val="StandardWW"/>
        <w:jc w:val="both"/>
        <w:rPr>
          <w:rFonts w:hint="eastAsia"/>
        </w:rPr>
      </w:pPr>
      <w:r>
        <w:rPr>
          <w:rFonts w:ascii="Times New Roman" w:hAnsi="Times New Roman"/>
        </w:rPr>
        <w:t>Цифровые активы приобретают все большее значение в правовом обороте. Их регулирование представляет собой сложный и быстроразвивающийся правовой сегмент, затрагивающий вопросы граж</w:t>
      </w:r>
      <w:r>
        <w:rPr>
          <w:rFonts w:ascii="Times New Roman" w:hAnsi="Times New Roman"/>
        </w:rPr>
        <w:t>данского, налогового, финансового и уголовного права. В данной статье рассматриваются  законодательная база, судебная практика и механизмы защиты прав.</w:t>
      </w:r>
    </w:p>
    <w:p w:rsidR="00060DC1" w:rsidRDefault="002C5CCC">
      <w:pPr>
        <w:pStyle w:val="StandardWW"/>
        <w:jc w:val="both"/>
        <w:rPr>
          <w:rFonts w:hint="eastAsia"/>
        </w:rPr>
      </w:pPr>
      <w:r>
        <w:rPr>
          <w:rFonts w:ascii="Times New Roman" w:hAnsi="Times New Roman"/>
        </w:rPr>
        <w:t>Термин «цифровой актив» в российском законодательстве получил закрепление в рамках Федерального закона о</w:t>
      </w:r>
      <w:r>
        <w:rPr>
          <w:rFonts w:ascii="Times New Roman" w:hAnsi="Times New Roman"/>
        </w:rPr>
        <w:t xml:space="preserve">т 31.07.2020 № 259-ФЗ «О цифровых финансовых активах, цифровой валюте и о внесении изменений в отдельные законодательные акты Российской Федерации».[1]. Согласно закону,цифровая валюта не является законным средством платежа, однако допускается ее владение </w:t>
      </w:r>
      <w:r>
        <w:rPr>
          <w:rFonts w:ascii="Times New Roman" w:hAnsi="Times New Roman"/>
        </w:rPr>
        <w:t>и обращение в рамках договорных отношений при соблюдении требований законодательства о противодействии легализации доходов. С принятием специальных норм гражданского законодательства  и данного федерального закона стало возможным нормативное закрепление ка</w:t>
      </w:r>
      <w:r>
        <w:rPr>
          <w:rFonts w:ascii="Times New Roman" w:hAnsi="Times New Roman"/>
        </w:rPr>
        <w:t>тегории «цифровые права», включаемых в перечень объектов гражданских прав.</w:t>
      </w:r>
      <w:r>
        <w:rPr>
          <w:rFonts w:ascii="Times New Roman" w:hAnsi="Times New Roman"/>
          <w:color w:val="000000"/>
        </w:rPr>
        <w:t>Цифровые финансовые активы рассматриваются как разновидность таких прав, воплощающих имущественные притязания участников гражданского оборота — в частности, права требования, корпора</w:t>
      </w:r>
      <w:r>
        <w:rPr>
          <w:rFonts w:ascii="Times New Roman" w:hAnsi="Times New Roman"/>
          <w:color w:val="000000"/>
        </w:rPr>
        <w:t>тивные и иные относительные права, существующие и реализуемые в рамках распределённых реестров и иных информационных систем.</w:t>
      </w:r>
      <w:r>
        <w:rPr>
          <w:rFonts w:ascii="Times New Roman" w:hAnsi="Times New Roman"/>
        </w:rPr>
        <w:t xml:space="preserve"> Правовой сущностью категории «цифровые права являются вполне известные правовой доктрине определенные имущественные права, для фикс</w:t>
      </w:r>
      <w:r>
        <w:rPr>
          <w:rFonts w:ascii="Times New Roman" w:hAnsi="Times New Roman"/>
        </w:rPr>
        <w:t>ации которых применяется оригинальная конструкция, позволяющая участникам гражданского оборота взаимодействовать по поводу этих прав дистанционно внутри определенной информационной системы.</w:t>
      </w:r>
    </w:p>
    <w:p w:rsidR="00060DC1" w:rsidRDefault="002C5CCC">
      <w:pPr>
        <w:pStyle w:val="StandardWW"/>
        <w:jc w:val="both"/>
        <w:rPr>
          <w:rFonts w:ascii="Times New Roman" w:hAnsi="Times New Roman"/>
          <w:color w:val="000000"/>
        </w:rPr>
      </w:pPr>
      <w:r>
        <w:rPr>
          <w:rFonts w:ascii="Times New Roman" w:hAnsi="Times New Roman"/>
          <w:color w:val="000000"/>
        </w:rPr>
        <w:t>Ключевое значение для определения оборотоспособности цифровых фина</w:t>
      </w:r>
      <w:r>
        <w:rPr>
          <w:rFonts w:ascii="Times New Roman" w:hAnsi="Times New Roman"/>
          <w:color w:val="000000"/>
        </w:rPr>
        <w:t>нсовых активов имеет их учёт в специализированной информационной системе, функционирующей по установленным законом правилам. Создание, переход и прекращение прав на такие активы осуществляются посредством внесения соответствующих записей, что предопределяе</w:t>
      </w:r>
      <w:r>
        <w:rPr>
          <w:rFonts w:ascii="Times New Roman" w:hAnsi="Times New Roman"/>
          <w:color w:val="000000"/>
        </w:rPr>
        <w:t>т формализацию гражданского оборота и высокую зависимость правового статуса активов от корректности и достоверности цифрового учёта. В результате классические категории «передачи», «отчуждения» и «обременения» имущества наполняются новым технологическим со</w:t>
      </w:r>
      <w:r>
        <w:rPr>
          <w:rFonts w:ascii="Times New Roman" w:hAnsi="Times New Roman"/>
          <w:color w:val="000000"/>
        </w:rPr>
        <w:t>держанием, сохраняя при этом фундаментальные цивилистические принципы.</w:t>
      </w:r>
    </w:p>
    <w:p w:rsidR="00060DC1" w:rsidRDefault="002C5CCC">
      <w:pPr>
        <w:pStyle w:val="StandardWW"/>
        <w:jc w:val="both"/>
        <w:rPr>
          <w:rFonts w:hint="eastAsia"/>
        </w:rPr>
      </w:pPr>
      <w:r>
        <w:rPr>
          <w:rFonts w:ascii="Times New Roman" w:hAnsi="Times New Roman"/>
        </w:rPr>
        <w:t xml:space="preserve"> </w:t>
      </w:r>
      <w:r>
        <w:rPr>
          <w:rFonts w:ascii="Times New Roman" w:hAnsi="Times New Roman"/>
          <w:color w:val="000000"/>
        </w:rPr>
        <w:t>Сложившаяся судебная практика подтверждает тенденцию к признанию цифровых финансовых активов и цифровой валюты объектами гражданских прав, прежде всего в качестве «иного имущества». Су</w:t>
      </w:r>
      <w:r>
        <w:rPr>
          <w:rFonts w:ascii="Times New Roman" w:hAnsi="Times New Roman"/>
          <w:color w:val="000000"/>
        </w:rPr>
        <w:t>ды последовательно допускают возможность включения цифровых активов в конкурсную массу при банкротстве, их ареста и обращения взыскания, а также квалифицируют неправомерное завладение ими как посягательство на имущественные права потерпевшего. Особое значе</w:t>
      </w:r>
      <w:r>
        <w:rPr>
          <w:rFonts w:ascii="Times New Roman" w:hAnsi="Times New Roman"/>
          <w:color w:val="000000"/>
        </w:rPr>
        <w:t xml:space="preserve">ние имеет позиция Конституционного Суда РФ, который указал на допустимость ограничения судебной защиты прав владельцев цифровой валюты условием исполнения ими обязанности по уведомлению налоговых органов, одновременно подтвердив, что такие активы подлежат </w:t>
      </w:r>
      <w:r>
        <w:rPr>
          <w:rFonts w:ascii="Times New Roman" w:hAnsi="Times New Roman"/>
          <w:color w:val="000000"/>
        </w:rPr>
        <w:t>конституционно гарантированной защите как имущество. Тем самым судебная практика не только конкретизирует правовой режим цифровых финансовых активов, но и задаёт ориентиры для дальнейшего совершенствования специального законодательства. Однако, после приня</w:t>
      </w:r>
      <w:r>
        <w:rPr>
          <w:rFonts w:ascii="Times New Roman" w:hAnsi="Times New Roman"/>
          <w:color w:val="000000"/>
        </w:rPr>
        <w:t xml:space="preserve">тия Постановления Конституционного </w:t>
      </w:r>
      <w:r>
        <w:rPr>
          <w:rFonts w:ascii="Times New Roman" w:hAnsi="Times New Roman"/>
          <w:color w:val="000000"/>
        </w:rPr>
        <w:lastRenderedPageBreak/>
        <w:t>Суда РФ № 2</w:t>
      </w:r>
      <w:r>
        <w:rPr>
          <w:rFonts w:ascii="Times New Roman" w:hAnsi="Times New Roman"/>
          <w:color w:val="000000"/>
        </w:rPr>
        <w:noBreakHyphen/>
        <w:t xml:space="preserve">П от 20.01.2026[2] цифровая валюта окончательно закрепляется в правовом поле как объект имущественных прав и налогооблагаемый объект, при этом законодатель даёт чёткий сигнал о необходимости усиления контроля </w:t>
      </w:r>
      <w:r>
        <w:rPr>
          <w:rFonts w:ascii="Times New Roman" w:hAnsi="Times New Roman"/>
          <w:color w:val="000000"/>
        </w:rPr>
        <w:t>за нелегальной торговлей криптовалютой. Тем самым не</w:t>
      </w:r>
      <w:r>
        <w:rPr>
          <w:rFonts w:ascii="Times New Roman" w:hAnsi="Times New Roman"/>
          <w:color w:val="000000"/>
        </w:rPr>
        <w:noBreakHyphen/>
        <w:t>легальная сфера оборота цифровой валюты в России оказывается экспоненциально более уязвимой для применения налоговых, административных и уголовно</w:t>
      </w:r>
      <w:r>
        <w:rPr>
          <w:rFonts w:ascii="Times New Roman" w:hAnsi="Times New Roman"/>
          <w:color w:val="000000"/>
        </w:rPr>
        <w:noBreakHyphen/>
        <w:t xml:space="preserve">правовых санкций.  </w:t>
      </w:r>
    </w:p>
    <w:p w:rsidR="00060DC1" w:rsidRDefault="002C5CCC">
      <w:pPr>
        <w:pStyle w:val="StandardWW"/>
        <w:jc w:val="both"/>
        <w:rPr>
          <w:rFonts w:ascii="Times New Roman" w:hAnsi="Times New Roman"/>
          <w:color w:val="000000"/>
        </w:rPr>
      </w:pPr>
      <w:r>
        <w:rPr>
          <w:rFonts w:ascii="Times New Roman" w:hAnsi="Times New Roman"/>
          <w:color w:val="000000"/>
        </w:rPr>
        <w:t>Защита прав на цифровые активы возмож</w:t>
      </w:r>
      <w:r>
        <w:rPr>
          <w:rFonts w:ascii="Times New Roman" w:hAnsi="Times New Roman"/>
          <w:color w:val="000000"/>
        </w:rPr>
        <w:t>на если: доказан факт владения (доступ к кошельку,цифровой подписи, которые позволяют единолично инициировать операции с активом); зафиксированы параметры актива; соблюдены требования закона (регистрация цифрового финансового актива в соответствии с Законо</w:t>
      </w:r>
      <w:r>
        <w:rPr>
          <w:rFonts w:ascii="Times New Roman" w:hAnsi="Times New Roman"/>
          <w:color w:val="000000"/>
        </w:rPr>
        <w:t>м №259-ФЗ),если же актив не был оформлен легально, суд может отказать в защите, указав на несоответствие требованиям законах [3]</w:t>
      </w:r>
    </w:p>
    <w:p w:rsidR="00060DC1" w:rsidRDefault="002C5CCC">
      <w:pPr>
        <w:pStyle w:val="StandardWW"/>
        <w:jc w:val="both"/>
        <w:rPr>
          <w:rFonts w:hint="eastAsia"/>
        </w:rPr>
      </w:pPr>
      <w:r>
        <w:rPr>
          <w:rFonts w:ascii="Times New Roman" w:hAnsi="Times New Roman"/>
          <w:color w:val="000000"/>
        </w:rPr>
        <w:t>Цифровые активы — это новая категория объектов гражданских прав, требующая комплексного подхода к правовому регулированию. Несм</w:t>
      </w:r>
      <w:r>
        <w:rPr>
          <w:rFonts w:ascii="Times New Roman" w:hAnsi="Times New Roman"/>
          <w:color w:val="000000"/>
        </w:rPr>
        <w:t>отря на отсутствие полной законодательной базы, практика формирования правовых механизмов защиты и судебных подходов активно развивается. Юридическая помощь в вопросах владения, оборота и защиты цифровых активов необходима как физическим лицам, так и бизне</w:t>
      </w:r>
      <w:r>
        <w:rPr>
          <w:rFonts w:ascii="Times New Roman" w:hAnsi="Times New Roman"/>
          <w:color w:val="000000"/>
        </w:rPr>
        <w:t>су. При возникновении спора важно быстро зафиксировать факт владения и правильно определить правовой способ защиты интересов.</w:t>
      </w:r>
    </w:p>
    <w:p w:rsidR="00060DC1" w:rsidRDefault="00060DC1">
      <w:pPr>
        <w:pStyle w:val="StandardWW"/>
        <w:jc w:val="both"/>
        <w:rPr>
          <w:rFonts w:ascii="Times New Roman" w:hAnsi="Times New Roman"/>
        </w:rPr>
      </w:pPr>
    </w:p>
    <w:p w:rsidR="00060DC1" w:rsidRDefault="00060DC1">
      <w:pPr>
        <w:pStyle w:val="StandardWW"/>
        <w:jc w:val="both"/>
        <w:rPr>
          <w:rFonts w:ascii="Times New Roman" w:hAnsi="Times New Roman"/>
        </w:rPr>
      </w:pPr>
    </w:p>
    <w:p w:rsidR="00060DC1" w:rsidRDefault="00060DC1">
      <w:pPr>
        <w:pStyle w:val="StandardWW"/>
        <w:jc w:val="both"/>
        <w:rPr>
          <w:rFonts w:ascii="Times New Roman" w:hAnsi="Times New Roman"/>
        </w:rPr>
      </w:pPr>
    </w:p>
    <w:p w:rsidR="00060DC1" w:rsidRDefault="002C5CCC">
      <w:pPr>
        <w:pStyle w:val="StandardWW"/>
        <w:jc w:val="center"/>
        <w:rPr>
          <w:rFonts w:hint="eastAsia"/>
        </w:rPr>
      </w:pPr>
      <w:r>
        <w:rPr>
          <w:rFonts w:ascii="Times New Roman" w:hAnsi="Times New Roman"/>
          <w:b/>
          <w:bCs/>
          <w:color w:val="000000"/>
        </w:rPr>
        <w:t>СПИСОК ЛИТЕРАТУРЫ</w:t>
      </w:r>
    </w:p>
    <w:p w:rsidR="00060DC1" w:rsidRDefault="00060DC1">
      <w:pPr>
        <w:pStyle w:val="StandardWW"/>
        <w:jc w:val="center"/>
        <w:rPr>
          <w:rFonts w:ascii="Times New Roman" w:hAnsi="Times New Roman"/>
          <w:b/>
          <w:bCs/>
        </w:rPr>
      </w:pPr>
    </w:p>
    <w:p w:rsidR="00060DC1" w:rsidRDefault="00060DC1">
      <w:pPr>
        <w:pStyle w:val="StandardWW"/>
        <w:jc w:val="center"/>
        <w:rPr>
          <w:rFonts w:ascii="Times New Roman" w:hAnsi="Times New Roman"/>
          <w:b/>
          <w:bCs/>
        </w:rPr>
      </w:pPr>
    </w:p>
    <w:p w:rsidR="00060DC1" w:rsidRDefault="002C5CCC">
      <w:pPr>
        <w:pStyle w:val="StandardWW"/>
        <w:jc w:val="both"/>
        <w:rPr>
          <w:rFonts w:hint="eastAsia"/>
        </w:rPr>
      </w:pPr>
      <w:r>
        <w:rPr>
          <w:rFonts w:ascii="Times New Roman" w:hAnsi="Times New Roman"/>
          <w:color w:val="000000"/>
        </w:rPr>
        <w:t xml:space="preserve">1 О цифровых финансовых активах, цифровой валюте и о внесении изменений в отдельные законодательные акты </w:t>
      </w:r>
      <w:r>
        <w:rPr>
          <w:rFonts w:ascii="Times New Roman" w:hAnsi="Times New Roman"/>
          <w:color w:val="000000"/>
        </w:rPr>
        <w:t>Российской Федерации : федеральный закон от 31.07.2020 № 259-ФЗ (</w:t>
      </w:r>
      <w:r>
        <w:rPr>
          <w:color w:val="000000"/>
        </w:rPr>
        <w:t>ред. от 15.12.2025, с изм. от 20.01.2026</w:t>
      </w:r>
      <w:r>
        <w:rPr>
          <w:rFonts w:ascii="Times New Roman" w:hAnsi="Times New Roman"/>
          <w:color w:val="000000"/>
        </w:rPr>
        <w:t xml:space="preserve">) // </w:t>
      </w:r>
      <w:r>
        <w:rPr>
          <w:color w:val="000000"/>
        </w:rPr>
        <w:t>Собрание законодательства РФ.- 03.08.2020.- № 31 (часть I). Ст. 5018.</w:t>
      </w:r>
    </w:p>
    <w:p w:rsidR="00060DC1" w:rsidRDefault="00060DC1">
      <w:pPr>
        <w:pStyle w:val="StandardWW"/>
        <w:rPr>
          <w:rFonts w:hint="eastAsia"/>
          <w:color w:val="000000"/>
        </w:rPr>
      </w:pPr>
    </w:p>
    <w:p w:rsidR="00060DC1" w:rsidRDefault="00060DC1">
      <w:pPr>
        <w:pStyle w:val="StandardWW"/>
        <w:rPr>
          <w:rFonts w:hint="eastAsia"/>
        </w:rPr>
      </w:pPr>
    </w:p>
    <w:p w:rsidR="00060DC1" w:rsidRDefault="002C5CCC">
      <w:pPr>
        <w:pStyle w:val="StandardWW"/>
        <w:jc w:val="both"/>
        <w:rPr>
          <w:rFonts w:hint="eastAsia"/>
        </w:rPr>
      </w:pPr>
      <w:r>
        <w:rPr>
          <w:rFonts w:ascii="Times New Roman" w:hAnsi="Times New Roman"/>
        </w:rPr>
        <w:t>2.</w:t>
      </w:r>
      <w:r>
        <w:rPr>
          <w:rFonts w:ascii="Times New Roman" w:hAnsi="Times New Roman"/>
          <w:color w:val="000000"/>
        </w:rPr>
        <w:t xml:space="preserve"> По делу о проверке конституционности части 6 статьи 14 Федерального зак</w:t>
      </w:r>
      <w:r>
        <w:rPr>
          <w:rFonts w:ascii="Times New Roman" w:hAnsi="Times New Roman"/>
          <w:color w:val="000000"/>
        </w:rPr>
        <w:t>она о цифровых финансовых активах, цифровой валюте и о внесении изменений в отдельные законодательные акты Российской Федерации: Постановление Конституционного Суда РФ от 20.01.2026 № 2</w:t>
      </w:r>
      <w:r>
        <w:rPr>
          <w:rFonts w:ascii="Times New Roman" w:hAnsi="Times New Roman"/>
          <w:color w:val="000000"/>
        </w:rPr>
        <w:noBreakHyphen/>
        <w:t>П</w:t>
      </w:r>
    </w:p>
    <w:p w:rsidR="00060DC1" w:rsidRDefault="002C5CCC">
      <w:pPr>
        <w:pStyle w:val="Textbody"/>
        <w:jc w:val="both"/>
        <w:rPr>
          <w:rFonts w:hint="eastAsia"/>
        </w:rPr>
      </w:pPr>
      <w:r>
        <w:rPr>
          <w:rFonts w:ascii="Times New Roman" w:hAnsi="Times New Roman"/>
          <w:color w:val="000000"/>
        </w:rPr>
        <w:t>// Собрание законодательства РФ.- 26.01.2026.- № 4. ст. 372.</w:t>
      </w:r>
    </w:p>
    <w:p w:rsidR="00060DC1" w:rsidRDefault="00060DC1">
      <w:pPr>
        <w:pStyle w:val="StandardWW"/>
        <w:jc w:val="both"/>
        <w:rPr>
          <w:rFonts w:hint="eastAsia"/>
        </w:rPr>
      </w:pPr>
    </w:p>
    <w:p w:rsidR="00060DC1" w:rsidRDefault="002C5CCC">
      <w:pPr>
        <w:pStyle w:val="StandardWW"/>
        <w:rPr>
          <w:rFonts w:hint="eastAsia"/>
        </w:rPr>
      </w:pPr>
      <w:r>
        <w:rPr>
          <w:rFonts w:ascii="Times New Roman" w:hAnsi="Times New Roman"/>
        </w:rPr>
        <w:t>3. Циф</w:t>
      </w:r>
      <w:r>
        <w:rPr>
          <w:rFonts w:ascii="Times New Roman" w:hAnsi="Times New Roman"/>
        </w:rPr>
        <w:t xml:space="preserve">ровой актив: правовое регулирование, защита прав и судебная практика </w:t>
      </w:r>
      <w:hyperlink r:id="rId7" w:history="1">
        <w:r>
          <w:rPr>
            <w:rFonts w:ascii="Times New Roman" w:hAnsi="Times New Roman"/>
          </w:rPr>
          <w:t>https://suvorov.legal/tsifrovoj-aktiv/?ysclid=mn4acu0z3k553377312</w:t>
        </w:r>
      </w:hyperlink>
      <w:r>
        <w:rPr>
          <w:rFonts w:ascii="Times New Roman" w:hAnsi="Times New Roman"/>
        </w:rPr>
        <w:t xml:space="preserve"> (дата обращения 23.03.2026)</w:t>
      </w:r>
    </w:p>
    <w:sectPr w:rsidR="00060D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5CCC">
      <w:pPr>
        <w:rPr>
          <w:rFonts w:hint="eastAsia"/>
        </w:rPr>
      </w:pPr>
      <w:r>
        <w:separator/>
      </w:r>
    </w:p>
  </w:endnote>
  <w:endnote w:type="continuationSeparator" w:id="0">
    <w:p w:rsidR="00000000" w:rsidRDefault="002C5C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5CCC">
      <w:pPr>
        <w:rPr>
          <w:rFonts w:hint="eastAsia"/>
        </w:rPr>
      </w:pPr>
      <w:r>
        <w:rPr>
          <w:color w:val="000000"/>
        </w:rPr>
        <w:separator/>
      </w:r>
    </w:p>
  </w:footnote>
  <w:footnote w:type="continuationSeparator" w:id="0">
    <w:p w:rsidR="00000000" w:rsidRDefault="002C5CC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7894"/>
    <w:multiLevelType w:val="multilevel"/>
    <w:tmpl w:val="5560B408"/>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60DC1"/>
    <w:rsid w:val="00060DC1"/>
    <w:rsid w:val="002C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7747F35-FB62-4779-B110-11D18968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WW"/>
  </w:style>
  <w:style w:type="paragraph" w:styleId="Caption">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pPr>
      <w:widowControl/>
    </w:pPr>
  </w:style>
  <w:style w:type="paragraph" w:customStyle="1" w:styleId="TextbodyWW">
    <w:name w:val="Text body (WW)"/>
    <w:basedOn w:val="StandardWW"/>
    <w:pPr>
      <w:spacing w:after="140" w:line="276" w:lineRule="auto"/>
    </w:pPr>
  </w:style>
  <w:style w:type="paragraph" w:styleId="NormalWeb">
    <w:name w:val="Normal (Web)"/>
    <w:basedOn w:val="Standard"/>
    <w:rPr>
      <w:rFonts w:ascii="Times New Roman" w:eastAsia="Times New Roman" w:hAnsi="Times New Roman" w:cs="Mangal"/>
      <w:szCs w:val="21"/>
    </w:rPr>
  </w:style>
  <w:style w:type="character" w:customStyle="1" w:styleId="Internetlink">
    <w:name w:val="Internet link"/>
    <w:rPr>
      <w:color w:val="000080"/>
      <w:u w:val="single"/>
    </w:rPr>
  </w:style>
  <w:style w:type="character" w:customStyle="1" w:styleId="ListLabel1">
    <w:name w:val="ListLabel 1"/>
    <w:rPr>
      <w:rFonts w:ascii="Times New Roman" w:eastAsia="Times New Roman" w:hAnsi="Times New Roman" w:cs="Times New Roman"/>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vorov.legal/tsifrovoj-aktiv/?ysclid=mn4acu0z3k553377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4</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dcterms:created xsi:type="dcterms:W3CDTF">2026-03-30T08:35:00Z</dcterms:created>
  <dcterms:modified xsi:type="dcterms:W3CDTF">2026-03-30T08:35:00Z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