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AB899" w14:textId="445908D8" w:rsidR="00C3096D" w:rsidRPr="00206D26" w:rsidRDefault="002708D4" w:rsidP="0001348B">
      <w:pPr>
        <w:pStyle w:val="WW-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708D4">
        <w:rPr>
          <w:rFonts w:ascii="Times New Roman" w:hAnsi="Times New Roman" w:cs="Times New Roman"/>
          <w:b/>
          <w:sz w:val="24"/>
          <w:szCs w:val="24"/>
        </w:rPr>
        <w:t>МИКРОФИНАНСИРОВАНИЕ ДЛЯ ПОЛУЧАТЕЛЕЙ СОЦИАЛЬНЫХ УСЛУГ: ЭТИЧНО ЛИ ВЫДАВАТЬ ЗАЙМЫ НА РЕАБИЛИТАЦИЮ ПОД ПРОЦЕНТ?</w:t>
      </w:r>
    </w:p>
    <w:p w14:paraId="6948B287" w14:textId="4CACF6AA" w:rsidR="00C3096D" w:rsidRPr="002708D4" w:rsidRDefault="002708D4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08D4">
        <w:rPr>
          <w:rFonts w:ascii="Times New Roman" w:hAnsi="Times New Roman" w:cs="Times New Roman"/>
          <w:i/>
          <w:sz w:val="24"/>
          <w:szCs w:val="24"/>
        </w:rPr>
        <w:t>Мамхягова Ж. З.</w:t>
      </w:r>
    </w:p>
    <w:p w14:paraId="24F5C314" w14:textId="77777777" w:rsidR="00C3096D" w:rsidRPr="002708D4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08D4">
        <w:rPr>
          <w:rFonts w:ascii="Times New Roman" w:hAnsi="Times New Roman" w:cs="Times New Roman"/>
          <w:i/>
          <w:sz w:val="24"/>
          <w:szCs w:val="24"/>
        </w:rPr>
        <w:t>студент, Адыгейский государственный университет, г. Майкоп</w:t>
      </w:r>
    </w:p>
    <w:p w14:paraId="3112115F" w14:textId="4497BF90" w:rsidR="00C3096D" w:rsidRPr="002708D4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08D4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r w:rsidR="0001348B" w:rsidRPr="002708D4">
        <w:rPr>
          <w:rFonts w:ascii="Times New Roman" w:hAnsi="Times New Roman" w:cs="Times New Roman"/>
          <w:i/>
          <w:sz w:val="24"/>
          <w:szCs w:val="24"/>
        </w:rPr>
        <w:t>Таусова И. Ф.</w:t>
      </w:r>
    </w:p>
    <w:p w14:paraId="1D3146E0" w14:textId="789A651E" w:rsidR="00C3096D" w:rsidRPr="002708D4" w:rsidRDefault="00C3096D" w:rsidP="0001348B">
      <w:pPr>
        <w:pStyle w:val="WW-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08D4">
        <w:rPr>
          <w:rFonts w:ascii="Times New Roman" w:hAnsi="Times New Roman" w:cs="Times New Roman"/>
          <w:i/>
          <w:sz w:val="24"/>
          <w:szCs w:val="24"/>
        </w:rPr>
        <w:t>к.</w:t>
      </w:r>
      <w:r w:rsidR="0001348B" w:rsidRPr="002708D4">
        <w:rPr>
          <w:rFonts w:ascii="Times New Roman" w:hAnsi="Times New Roman" w:cs="Times New Roman"/>
          <w:i/>
          <w:sz w:val="24"/>
          <w:szCs w:val="24"/>
        </w:rPr>
        <w:t>э</w:t>
      </w:r>
      <w:r w:rsidRPr="002708D4">
        <w:rPr>
          <w:rFonts w:ascii="Times New Roman" w:hAnsi="Times New Roman" w:cs="Times New Roman"/>
          <w:i/>
          <w:sz w:val="24"/>
          <w:szCs w:val="24"/>
        </w:rPr>
        <w:t>.н., доцент, Адыгейский государственный университет, г. Майкоп</w:t>
      </w:r>
    </w:p>
    <w:p w14:paraId="05EFE284" w14:textId="77777777" w:rsidR="005D4DF8" w:rsidRDefault="005D4DF8" w:rsidP="0001348B">
      <w:pPr>
        <w:pStyle w:val="WW-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6FF8EA36" w14:textId="3180D575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Актуальность исследования обусловлена устойчивым ростом рынка микрофинансирования в Российской Федерации на фоне сохранения высокой доли граждан с доходами ниже прожиточного минимума. Согласно официальным данным Банка России, по итогам 2024 года портфель микрозаймов физическим лицам демонстрирует тенденцию к увеличению, при этом ключевая ставка и полная стоимость кредита (ПСК) для краткосрочных займов остаются на экстремально высоком уровне, нередко приближаясь к законодательному пределу в 0,8% в день [</w:t>
      </w:r>
      <w:r w:rsidR="00964556">
        <w:rPr>
          <w:rFonts w:ascii="Times New Roman" w:hAnsi="Times New Roman" w:cs="Times New Roman"/>
          <w:sz w:val="24"/>
          <w:szCs w:val="24"/>
        </w:rPr>
        <w:t>3</w:t>
      </w:r>
      <w:r w:rsidRPr="00125FF4">
        <w:rPr>
          <w:rFonts w:ascii="Times New Roman" w:hAnsi="Times New Roman" w:cs="Times New Roman"/>
          <w:sz w:val="24"/>
          <w:szCs w:val="24"/>
        </w:rPr>
        <w:t>]. Получатели социальных услуг, включая лиц, проходящих медицинскую или социальную реабилитацию (люди с инвалидностью, лица, освободившиеся из мест лишения свободы, граждане, преодолевающие зависимость), представляют собой группу повышенной уязвимости. Для данной категории граждан доступ к традиционному банковскому кредитованию часто закрыт в силу нестабильного дохода или негативной кредитной истории, что делает их целевой аудиторией микрофинансовых организаций (МФО). Этическая дилемма заключается в конфликте между потребностью человека в экстренном финансировании лечения или базовых нужд в процессе реабилитации и финансовой моделью МФО, которая предполагает извлечение прибыли из высокой оборачиваемости капитала под значительный процент. В условиях, когда среднемесячные выплаты по микрозайму могут превышать социальное пособие, возникает вопрос: не становится ли финансовая помощь инструментом, усугубляющим кризисную ситуацию клиента?</w:t>
      </w:r>
    </w:p>
    <w:p w14:paraId="3B3E15D9" w14:textId="77777777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2. Степень разработанности (обзор литературы).</w:t>
      </w:r>
    </w:p>
    <w:p w14:paraId="57D905F7" w14:textId="78556879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Проблематика микрофинансирования социально уязвимых групп активно изучается в современной экономической социологии и этике финансов. Исследователь Е.А. Смирнова в своей работе 2024 года отмечает, что на российском рынке сложилась противоречивая ситуация: с одной стороны, ужесточается регулирование макропруденциальных лимитов для МФО, с другой — растет спрос на «займы до зарплаты» среди наименее обеспеченных слоев населения [</w:t>
      </w:r>
      <w:r w:rsidR="00964556">
        <w:rPr>
          <w:rFonts w:ascii="Times New Roman" w:hAnsi="Times New Roman" w:cs="Times New Roman"/>
          <w:sz w:val="24"/>
          <w:szCs w:val="24"/>
        </w:rPr>
        <w:t>2</w:t>
      </w:r>
      <w:r w:rsidRPr="00125FF4">
        <w:rPr>
          <w:rFonts w:ascii="Times New Roman" w:hAnsi="Times New Roman" w:cs="Times New Roman"/>
          <w:sz w:val="24"/>
          <w:szCs w:val="24"/>
        </w:rPr>
        <w:t>]. В научной литературе подробно рассмотрены последствия долговой нагрузки для психологического состояния реципиентов социальных услуг, однако аспект именно реабилитационного периода как особого статуса заемщика освещен недостаточно. Зарубежные исследования, восходящие к трудам М. Юнуса, изначально позиционировали микрофинансирование как инструмент социального лифта, однако российская практика демонстрирует смещение акцента в сторону потребительского кредитования [</w:t>
      </w:r>
      <w:r w:rsidR="00964556">
        <w:rPr>
          <w:rFonts w:ascii="Times New Roman" w:hAnsi="Times New Roman" w:cs="Times New Roman"/>
          <w:sz w:val="24"/>
          <w:szCs w:val="24"/>
        </w:rPr>
        <w:t>2</w:t>
      </w:r>
      <w:r w:rsidRPr="00125FF4">
        <w:rPr>
          <w:rFonts w:ascii="Times New Roman" w:hAnsi="Times New Roman" w:cs="Times New Roman"/>
          <w:sz w:val="24"/>
          <w:szCs w:val="24"/>
        </w:rPr>
        <w:t>]. Кроме того, на законодательном уровне наблюдается рост числа инициатив, направленных на введение ограничений и запретов на взаимодействие МФО с получателями пособий, что свидетельствует о признании проблемы государством, но не предлагает системного решения [</w:t>
      </w:r>
      <w:r w:rsidR="00964556">
        <w:rPr>
          <w:rFonts w:ascii="Times New Roman" w:hAnsi="Times New Roman" w:cs="Times New Roman"/>
          <w:sz w:val="24"/>
          <w:szCs w:val="24"/>
        </w:rPr>
        <w:t>1</w:t>
      </w:r>
      <w:r w:rsidRPr="00125FF4">
        <w:rPr>
          <w:rFonts w:ascii="Times New Roman" w:hAnsi="Times New Roman" w:cs="Times New Roman"/>
          <w:sz w:val="24"/>
          <w:szCs w:val="24"/>
        </w:rPr>
        <w:t>].</w:t>
      </w:r>
    </w:p>
    <w:p w14:paraId="3BC6B04B" w14:textId="77777777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3. Цель и задачи.</w:t>
      </w:r>
    </w:p>
    <w:p w14:paraId="506605BC" w14:textId="77777777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Цель исследования — провести этико-экономический анализ допустимости выдачи процентных займов лицам, находящимся в процессе социальной или медицинской реабилитации, и определить условия, при которых микрофинансирование не противоречит принципам социальной работы.</w:t>
      </w:r>
    </w:p>
    <w:p w14:paraId="74F6EAFD" w14:textId="77777777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Для достижения цели были поставлены следующие задачи:</w:t>
      </w:r>
    </w:p>
    <w:p w14:paraId="3FA1E91E" w14:textId="77777777" w:rsidR="00125FF4" w:rsidRPr="00125FF4" w:rsidRDefault="00125FF4" w:rsidP="005A309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Идентифицировать специфические риски закредитованности для категории «получатели социальных услуг на реабилитации».</w:t>
      </w:r>
    </w:p>
    <w:p w14:paraId="4178EB75" w14:textId="51685F1D" w:rsidR="00125FF4" w:rsidRPr="00125FF4" w:rsidRDefault="00125FF4" w:rsidP="005A309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Проанализировать современную регуляторную среду и рыночные практики МФО в отношении заемщиков с низким и нестабильным доходом .</w:t>
      </w:r>
    </w:p>
    <w:p w14:paraId="56EDACE3" w14:textId="77777777" w:rsidR="00125FF4" w:rsidRPr="00125FF4" w:rsidRDefault="00125FF4" w:rsidP="005A309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lastRenderedPageBreak/>
        <w:t>Выявить этические критерии допустимости финансовых услуг в социальной сфере на основе сравнения коммерческого и социального микрофинансирования.</w:t>
      </w:r>
    </w:p>
    <w:p w14:paraId="770E61F2" w14:textId="77777777" w:rsidR="00125FF4" w:rsidRPr="00125FF4" w:rsidRDefault="00125FF4" w:rsidP="005A3090">
      <w:pPr>
        <w:pStyle w:val="WW-"/>
        <w:numPr>
          <w:ilvl w:val="0"/>
          <w:numId w:val="1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Сформулировать рекомендации по корректировке государственной политики и стандартов деятельности МФО.</w:t>
      </w:r>
    </w:p>
    <w:p w14:paraId="7DD066D0" w14:textId="77777777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4. Методы.</w:t>
      </w:r>
    </w:p>
    <w:p w14:paraId="3F053AF7" w14:textId="212CF8AC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В работе применен комплекс общенаучных и специальных методов. Метод теоретического анализа использован при изучении научных публикаций по экономической этике и социологии финансов. Статистический анализ позволил оценить динамику показателей долговой нагрузки и процентных ставок на рынке микрофинансирования на основе официальных отчетов Банка России. Контент-анализ нормативно-правовых актов и законопроектов применялся для оценки текущего состояния и перспектив регулирования отношений между МФО и социально уязвимыми категориями граждан. Метод кейс-стади (ситуационного анализа) позволил смоделировать финансовые последствия получения займа для условного получателя социальной пенсии по инвалидности.</w:t>
      </w:r>
    </w:p>
    <w:p w14:paraId="46B3E3E1" w14:textId="77777777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5. Научные результаты и выводы.</w:t>
      </w:r>
    </w:p>
    <w:p w14:paraId="7E3A19E2" w14:textId="77777777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Проведенное исследование позволяет сделать следующие выводы.</w:t>
      </w:r>
    </w:p>
    <w:p w14:paraId="15FFE991" w14:textId="3589F58A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Во-первых, выдача займов под рыночный процент на цели реабилитации является этически несостоятельной в рамках стандартной коммерческой модели МФО. Анализ финансовой нагрузки показывает, что при текущем уровне ПСК (до 292% годовых) даже краткосрочный заем для приобретения лекарств или средств реабилитации создает для клиента критический риск попадания в «долговую яму», что нивелирует положительный эффект от социального обслуживания [</w:t>
      </w:r>
      <w:r w:rsidR="00964556">
        <w:rPr>
          <w:rFonts w:ascii="Times New Roman" w:hAnsi="Times New Roman" w:cs="Times New Roman"/>
          <w:sz w:val="24"/>
          <w:szCs w:val="24"/>
        </w:rPr>
        <w:t>3</w:t>
      </w:r>
      <w:r w:rsidRPr="00125FF4">
        <w:rPr>
          <w:rFonts w:ascii="Times New Roman" w:hAnsi="Times New Roman" w:cs="Times New Roman"/>
          <w:sz w:val="24"/>
          <w:szCs w:val="24"/>
        </w:rPr>
        <w:t>].</w:t>
      </w:r>
    </w:p>
    <w:p w14:paraId="15B019E6" w14:textId="1C46A508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Во-вторых, степень разработанности проблемы в законодательстве остается фрагментарной. Предлагаемые запретительные меры, такие как введение абсолютного запрета на выдачу займов получателям социальных выплат [</w:t>
      </w:r>
      <w:r w:rsidR="00964556">
        <w:rPr>
          <w:rFonts w:ascii="Times New Roman" w:hAnsi="Times New Roman" w:cs="Times New Roman"/>
          <w:sz w:val="24"/>
          <w:szCs w:val="24"/>
        </w:rPr>
        <w:t>1</w:t>
      </w:r>
      <w:r w:rsidRPr="00125FF4">
        <w:rPr>
          <w:rFonts w:ascii="Times New Roman" w:hAnsi="Times New Roman" w:cs="Times New Roman"/>
          <w:sz w:val="24"/>
          <w:szCs w:val="24"/>
        </w:rPr>
        <w:t>], решают проблему лишь механически, лишая граждан легального доступа к срочному финансированию и толкая их в теневой сектор.</w:t>
      </w:r>
    </w:p>
    <w:p w14:paraId="1FDE4534" w14:textId="390BA844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В-третьих, единственным этически приемлемым решением видится развитие альтернативных институтов. Научным результатом работы является обоснование необходимости создания специализированного продукта — «займа на реабилитацию», субсидируемого государством или реализуемого через социально ориентированные НКО и кассы взаимопомощи. В таких структурах ставка должна рассчитываться не по законам рынка, а по формуле «инфляция плюс административные расходы» (не более 5-10% годовых). Предлагаемая модель социального займа требует ответа на вопрос о финансировании. Возможными источниками могут быть: 1) средства государственных программ поддержки социального предпринимательства (субсидирование части процентной ставки из региональных бюджетов); 2) целевые гранты благотворительных фондов, направляемые на формирование уставного капитала специализированных фондов взаимопомощи; 3) средства социально ответственных инвесторов и эндаумент-фондов, для которых приоритетом является сохранение капитала с минимальной доходностью, а не извлечение прибыли.</w:t>
      </w:r>
    </w:p>
    <w:p w14:paraId="2D119BA8" w14:textId="644BD809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Что касается вопроса о допустимости любого процента, ответ должен быть категоричным: выдача займов на цели реабилитации не может считаться этичной при любом значении ставки. Этически оправданным является лишь тот процент, который не создает дополнительного бремени для и без того уязвимого бюджета клиента. Исходя из анализа макроэкономической ситуации и принципов социальной справедливости, верхним этическим пределом в данном случае следует признать уровень, не превышающий ключевую ставку Банка России плюс 2-3 процентных пункта (то есть в диапазоне 5-7% годовых в условиях 2025-2026 гг.). Данный процент покрывает инфляционные риски и минимальные операционные издержки, но исключает ростовщическую маржу, недопустимую в отношениях с получателями социальных услуг.</w:t>
      </w:r>
    </w:p>
    <w:p w14:paraId="178D459D" w14:textId="77777777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Таким образом, этичность микрофинансирования в социальной сфере напрямую зависит от модификации его цели: переход от извлечения прибыли за счет уязвимости клиента к обеспечению финансовой инклюзии как элементу социальной поддержки.</w:t>
      </w:r>
    </w:p>
    <w:p w14:paraId="21B459C0" w14:textId="77777777" w:rsidR="00125FF4" w:rsidRPr="00125FF4" w:rsidRDefault="00125FF4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14:paraId="50FC68C2" w14:textId="77777777" w:rsidR="00964556" w:rsidRPr="00125FF4" w:rsidRDefault="00964556" w:rsidP="005A3090">
      <w:pPr>
        <w:pStyle w:val="WW-"/>
        <w:numPr>
          <w:ilvl w:val="0"/>
          <w:numId w:val="12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Банк России. Обзор ключевых показателей микрофинансовых институтов. Информационно-аналитический материал. 2024. № 4. [Электронный ресурс]. URL: https://cbr.ru/analytics/microfinance/ (дата обращения: 09.04.2026).</w:t>
      </w:r>
    </w:p>
    <w:p w14:paraId="7E4BC41F" w14:textId="77777777" w:rsidR="00964556" w:rsidRPr="00125FF4" w:rsidRDefault="00964556" w:rsidP="005A3090">
      <w:pPr>
        <w:pStyle w:val="WW-"/>
        <w:numPr>
          <w:ilvl w:val="0"/>
          <w:numId w:val="12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5FF4">
        <w:rPr>
          <w:rFonts w:ascii="Times New Roman" w:hAnsi="Times New Roman" w:cs="Times New Roman"/>
          <w:sz w:val="24"/>
          <w:szCs w:val="24"/>
        </w:rPr>
        <w:t>Проект Федерального закона № 507553-8 «О внесении изменений в Федеральный закон "О потребительском кредите (займе)"» (в части ограничения выдачи потребительских займов гражданам, получающим меры социальной поддержки). 2025. [Электронный ресурс]. URL: https://sozd.duma.gov.ru/bill/507553-8 (дата обращения: 09.04.2026).</w:t>
      </w:r>
    </w:p>
    <w:p w14:paraId="3BAFDDCF" w14:textId="77777777" w:rsidR="00964556" w:rsidRPr="00125FF4" w:rsidRDefault="00964556" w:rsidP="005A3090">
      <w:pPr>
        <w:pStyle w:val="WW-"/>
        <w:numPr>
          <w:ilvl w:val="0"/>
          <w:numId w:val="12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64556">
        <w:rPr>
          <w:rFonts w:ascii="Times New Roman" w:hAnsi="Times New Roman" w:cs="Times New Roman"/>
          <w:sz w:val="24"/>
          <w:szCs w:val="24"/>
        </w:rPr>
        <w:t>Шуклина З.Н. Цели и особенности социально-этического маркетинга в сфере функционирования микрофинансовых организаций // Экономика и бизнес. [Электронный ресурс] // КиберЛенинка. URL: https://cyberleninka.ru/article/n/tseli-i-osobennosti-sotsialno-eticheskogo-marketinga-v-sfere-funktsionirovaniya-mikrofinansovyh-organizatsiy (дата обращения: 09.04.2026).</w:t>
      </w:r>
    </w:p>
    <w:p w14:paraId="582D39FC" w14:textId="3C1BF4B0" w:rsidR="004338D1" w:rsidRPr="0098523C" w:rsidRDefault="004338D1" w:rsidP="005A3090">
      <w:pPr>
        <w:pStyle w:val="WW-"/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sectPr w:rsidR="004338D1" w:rsidRPr="0098523C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6387"/>
    <w:multiLevelType w:val="hybridMultilevel"/>
    <w:tmpl w:val="DC0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3B6"/>
    <w:multiLevelType w:val="hybridMultilevel"/>
    <w:tmpl w:val="A9BC13A8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0CB75C3"/>
    <w:multiLevelType w:val="hybridMultilevel"/>
    <w:tmpl w:val="23D89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662D"/>
    <w:multiLevelType w:val="multilevel"/>
    <w:tmpl w:val="28A0E42E"/>
    <w:lvl w:ilvl="0">
      <w:start w:val="1"/>
      <w:numFmt w:val="decimal"/>
      <w:lvlText w:val="%1."/>
      <w:lvlJc w:val="left"/>
      <w:pPr>
        <w:tabs>
          <w:tab w:val="num" w:pos="0"/>
        </w:tabs>
        <w:ind w:left="1771" w:hanging="1035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216086"/>
    <w:multiLevelType w:val="hybridMultilevel"/>
    <w:tmpl w:val="71A8A23C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50E3407"/>
    <w:multiLevelType w:val="hybridMultilevel"/>
    <w:tmpl w:val="42368CD2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5F71C8A"/>
    <w:multiLevelType w:val="hybridMultilevel"/>
    <w:tmpl w:val="06CAEC6E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28697C77"/>
    <w:multiLevelType w:val="hybridMultilevel"/>
    <w:tmpl w:val="8352758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8" w15:restartNumberingAfterBreak="0">
    <w:nsid w:val="2C155A5F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9" w15:restartNumberingAfterBreak="0">
    <w:nsid w:val="453A040D"/>
    <w:multiLevelType w:val="hybridMultilevel"/>
    <w:tmpl w:val="4C28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23BE4"/>
    <w:multiLevelType w:val="hybridMultilevel"/>
    <w:tmpl w:val="A920A46A"/>
    <w:lvl w:ilvl="0" w:tplc="DB5CF810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1" w15:restartNumberingAfterBreak="0">
    <w:nsid w:val="6CA962CD"/>
    <w:multiLevelType w:val="hybridMultilevel"/>
    <w:tmpl w:val="4D285C9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7A"/>
    <w:rsid w:val="0001348B"/>
    <w:rsid w:val="00043674"/>
    <w:rsid w:val="00083A28"/>
    <w:rsid w:val="000B5054"/>
    <w:rsid w:val="00125FF4"/>
    <w:rsid w:val="0015247A"/>
    <w:rsid w:val="00206D26"/>
    <w:rsid w:val="002654BE"/>
    <w:rsid w:val="002708D4"/>
    <w:rsid w:val="003D6542"/>
    <w:rsid w:val="0040254B"/>
    <w:rsid w:val="004338D1"/>
    <w:rsid w:val="005341D0"/>
    <w:rsid w:val="005A3090"/>
    <w:rsid w:val="005B2481"/>
    <w:rsid w:val="005C22BB"/>
    <w:rsid w:val="005C6CB1"/>
    <w:rsid w:val="005D4DF8"/>
    <w:rsid w:val="00677F19"/>
    <w:rsid w:val="00940AD1"/>
    <w:rsid w:val="00964556"/>
    <w:rsid w:val="0098523C"/>
    <w:rsid w:val="00B63C44"/>
    <w:rsid w:val="00C12E3A"/>
    <w:rsid w:val="00C3096D"/>
    <w:rsid w:val="00C5683C"/>
    <w:rsid w:val="00E81466"/>
    <w:rsid w:val="00EA3478"/>
    <w:rsid w:val="00EC1A22"/>
    <w:rsid w:val="00F2669B"/>
    <w:rsid w:val="00F7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F6A0"/>
  <w15:chartTrackingRefBased/>
  <w15:docId w15:val="{6DD44468-829E-44C0-81D8-426C4684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База"/>
    <w:qFormat/>
    <w:rsid w:val="00C3096D"/>
    <w:pPr>
      <w:suppressAutoHyphens/>
      <w:spacing w:after="200" w:line="276" w:lineRule="auto"/>
    </w:pPr>
    <w:rPr>
      <w:rFonts w:cs="Calibri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096D"/>
    <w:rPr>
      <w:color w:val="0000FF"/>
      <w:u w:val="single"/>
    </w:rPr>
  </w:style>
  <w:style w:type="paragraph" w:customStyle="1" w:styleId="WW-">
    <w:name w:val="WW-Базовый"/>
    <w:qFormat/>
    <w:rsid w:val="00C3096D"/>
    <w:pPr>
      <w:suppressAutoHyphens/>
      <w:spacing w:after="200" w:line="276" w:lineRule="auto"/>
      <w:ind w:left="357" w:hanging="357"/>
      <w:jc w:val="both"/>
    </w:pPr>
    <w:rPr>
      <w:rFonts w:eastAsia="DejaVu Sans" w:cs="Calibri"/>
      <w:lang w:eastAsia="zh-CN"/>
    </w:rPr>
  </w:style>
  <w:style w:type="paragraph" w:styleId="a4">
    <w:name w:val="List Paragraph"/>
    <w:basedOn w:val="a"/>
    <w:uiPriority w:val="34"/>
    <w:qFormat/>
    <w:rsid w:val="00EA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2024-11-19T17:48:00Z</dcterms:created>
  <dcterms:modified xsi:type="dcterms:W3CDTF">2026-04-10T13:55:00Z</dcterms:modified>
</cp:coreProperties>
</file>