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Керефова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.,</w:t>
      </w:r>
    </w:p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ФГБОУ ВО «Адыгейский государственный университет»</w:t>
      </w:r>
    </w:p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Хасанова 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доцент</w:t>
      </w:r>
    </w:p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Майкоп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СПРАВЕДЛИВОСТЬ СУДЕБНОГО РЕШЕНИЯ В УГОЛОВНОМ ПРОЦЕССЕ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КРИТЕРИИ И ПРОБЛЕМЫ ДОСТИЖЕНИЯ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Уголовное правосудие традиционно воспринимается как инструмент для установления истины и выношения объективных вердиктов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Тем не менее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современная практика правоприменения рисует более сложную картину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слепое следование формальным процедурам не всегда гарантирует итоговую справедливость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Наблюдается тенденция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которой процессуальные механизмы в уголовном судопроизводстве часто используются для подкрепления уже готовой версии обвинения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проявляется в однонаправленности следственных действий и ограничении возможностей для альтернативных толкований происшедшего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Эта закономерность находит подтверждение в статистике судебных решений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процент оправдательных приговоров остается крайне низким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Эта ситуация порождает дискуссии о предвзятости обвинения и ставит под сомнение реальную возможность достижения справедливости в ходе уголовного процесса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Критически важным становится вопрос о взаимосвязи законности и справедливости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законность подразумевает неукоснительное следование процессуальным нормам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справедливость требует более глубокого анализа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включающего тщательное исследование доказательств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непредвзятость суда и подлинное равноправие сторон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научной среде вопросы справедливости судебных решений и оценки доказательств были глубоко проработаны такими учеными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как 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Смирнов и К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Калиновский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видевшими в уголовном процессе систему защиты прав личности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П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Божьев также внес значительный вклад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фокусируясь на принципах уголовного судопроизводства как основе законности и справедливости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Исследования 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Головко посвящены проблемам состязательности и судебного контроля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Петрухина — судебным ошибкам и гарантиям прав обвиняемых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Зарубежные ученые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в частности 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Дамашка и 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Пакер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анализировали модели уголовного процесса и их влияние на справедливость исхода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Несмотря на обширный объем научных трудов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справедливость судебного решения в уголовном процессе часто рассматривается через призму формального соответствия нормам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 время как содержательные аспекты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такие как качество анализа доказательств и влияние субъективных факторов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остаются недостаточно освещенными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Это подчеркивает необходимость более детального теоретического осмысления справедливости как многогранной категории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выходящей за рамки формальной законности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Настоящее исследование ставит целью определить критерии справедливости судебного решения в уголовном процессе и проанализировать преграды на пути их реализации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этого исследуется природа справедливости как правового понятия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изучаются механизмы формирования судебного убеждения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анализируются причины потенциальных искажений при оценке доказательств и оцениваются существующие процессуальные гарантии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Методологическая база исследования включает анализ законодательства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судебной практики и научных достижений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сравнительно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правовой метод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Справедливость решения во многом зависит от качества доказательственной работы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Однако доказательства собираются и интерпретируются участниками процесса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неизбежно вносит влияние субъективных факторов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когнитивные искажения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предвзятость и склонность к подтверждению ранее сложившегося мнения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 основным препятствиям на пути к справедливости относятся обвинительный уклон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недостаточные возможности стороны защиты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формализация работы с доказательствами и зависимость суда от материалов следствия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Грань между справедливым и формально законным решением пролегает через принципы беспристрастности и состязательности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Полное исследование доказательств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равные возможности сторон и трактовка сомнений в пользу обвиняемого позволяют достичь справедливого результата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противном случае судебное решение рискует стать лишь формальным подтверждением позиции обвинения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Существующие процессуальные гарантии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такие как право на защиту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судебный контроль и принцип состязательности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играют важную роль в обеспечении справедливости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Однако их действенность во многом определяется практикой применения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часто ведет к их формализации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Таким образом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достижения справедливости в уголовном процессе необходимо не только соблюдение законов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их качественное применение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Ключевым условием является формирование четких критериев оценки судебного решения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включающих объективность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полноту и беспристрастность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Литература</w:t>
      </w:r>
      <w:r>
        <w:rPr>
          <w:rFonts w:ascii="Times New Roman" w:hAnsi="Times New Roman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: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</w:rPr>
        <w:t>Уголовно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процессуальный кодекс Российской Федерации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</w:rPr>
        <w:t xml:space="preserve">18.12.2001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174-</w:t>
      </w:r>
      <w:r>
        <w:rPr>
          <w:rFonts w:ascii="Times New Roman" w:hAnsi="Times New Roman" w:hint="default"/>
          <w:rtl w:val="0"/>
        </w:rPr>
        <w:t xml:space="preserve">ФЗ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от </w:t>
      </w:r>
      <w:r>
        <w:rPr>
          <w:rFonts w:ascii="Times New Roman" w:hAnsi="Times New Roman"/>
          <w:rtl w:val="0"/>
        </w:rPr>
        <w:t xml:space="preserve">25.12.2025, </w:t>
      </w:r>
      <w:r>
        <w:rPr>
          <w:rFonts w:ascii="Times New Roman" w:hAnsi="Times New Roman" w:hint="default"/>
          <w:rtl w:val="0"/>
          <w:lang w:val="ru-RU"/>
        </w:rPr>
        <w:t>с изм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и доп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вступ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силу с </w:t>
      </w:r>
      <w:r>
        <w:rPr>
          <w:rFonts w:ascii="Times New Roman" w:hAnsi="Times New Roman"/>
          <w:rtl w:val="0"/>
        </w:rPr>
        <w:t xml:space="preserve">01.03.2026) 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Российской Федерации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2001. </w:t>
      </w:r>
      <w:r>
        <w:rPr>
          <w:rFonts w:ascii="Times New Roman" w:hAnsi="Times New Roman" w:hint="default"/>
          <w:rtl w:val="0"/>
        </w:rPr>
        <w:t>– №</w:t>
      </w:r>
      <w:r>
        <w:rPr>
          <w:rFonts w:ascii="Times New Roman" w:hAnsi="Times New Roman"/>
          <w:rtl w:val="0"/>
        </w:rPr>
        <w:t>52 (</w:t>
      </w:r>
      <w:r>
        <w:rPr>
          <w:rFonts w:ascii="Times New Roman" w:hAnsi="Times New Roman" w:hint="default"/>
          <w:rtl w:val="0"/>
        </w:rPr>
        <w:t>ч</w:t>
      </w:r>
      <w:r>
        <w:rPr>
          <w:rFonts w:ascii="Times New Roman" w:hAnsi="Times New Roman"/>
          <w:rtl w:val="0"/>
        </w:rPr>
        <w:t xml:space="preserve">. I). </w:t>
      </w:r>
      <w:r>
        <w:rPr>
          <w:rFonts w:ascii="Times New Roman" w:hAnsi="Times New Roman" w:hint="default"/>
          <w:rtl w:val="0"/>
        </w:rPr>
        <w:t>– Ст</w:t>
      </w:r>
      <w:r>
        <w:rPr>
          <w:rFonts w:ascii="Times New Roman" w:hAnsi="Times New Roman"/>
          <w:rtl w:val="0"/>
        </w:rPr>
        <w:t>. 4921.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2.</w:t>
      </w:r>
      <w:r>
        <w:rPr>
          <w:rFonts w:ascii="Times New Roman" w:hAnsi="Times New Roman" w:hint="default"/>
          <w:rtl w:val="0"/>
          <w:lang w:val="ru-RU"/>
        </w:rPr>
        <w:t>О внесении изменений в Уголовно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процессуальный кодекс Российской Федерации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</w:rPr>
        <w:t xml:space="preserve">30.12.2021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500-</w:t>
      </w:r>
      <w:r>
        <w:rPr>
          <w:rFonts w:ascii="Times New Roman" w:hAnsi="Times New Roman" w:hint="default"/>
          <w:rtl w:val="0"/>
        </w:rPr>
        <w:t xml:space="preserve">ФЗ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от </w:t>
      </w:r>
      <w:r>
        <w:rPr>
          <w:rFonts w:ascii="Times New Roman" w:hAnsi="Times New Roman"/>
          <w:rtl w:val="0"/>
        </w:rPr>
        <w:t xml:space="preserve">28.12.2024, </w:t>
      </w:r>
      <w:r>
        <w:rPr>
          <w:rFonts w:ascii="Times New Roman" w:hAnsi="Times New Roman" w:hint="default"/>
          <w:rtl w:val="0"/>
          <w:lang w:val="ru-RU"/>
        </w:rPr>
        <w:t>с изм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и доп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вступ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силу с </w:t>
      </w:r>
      <w:r>
        <w:rPr>
          <w:rFonts w:ascii="Times New Roman" w:hAnsi="Times New Roman"/>
          <w:rtl w:val="0"/>
        </w:rPr>
        <w:t xml:space="preserve">01.01.2025) 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Российской Федерации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2022. </w:t>
      </w:r>
      <w:r>
        <w:rPr>
          <w:rFonts w:ascii="Times New Roman" w:hAnsi="Times New Roman" w:hint="default"/>
          <w:rtl w:val="0"/>
        </w:rPr>
        <w:t>– №</w:t>
      </w:r>
      <w:r>
        <w:rPr>
          <w:rFonts w:ascii="Times New Roman" w:hAnsi="Times New Roman"/>
          <w:rtl w:val="0"/>
        </w:rPr>
        <w:t>1 (</w:t>
      </w:r>
      <w:r>
        <w:rPr>
          <w:rFonts w:ascii="Times New Roman" w:hAnsi="Times New Roman" w:hint="default"/>
          <w:rtl w:val="0"/>
        </w:rPr>
        <w:t>ч</w:t>
      </w:r>
      <w:r>
        <w:rPr>
          <w:rFonts w:ascii="Times New Roman" w:hAnsi="Times New Roman"/>
          <w:rtl w:val="0"/>
        </w:rPr>
        <w:t xml:space="preserve">. I). </w:t>
      </w:r>
      <w:r>
        <w:rPr>
          <w:rFonts w:ascii="Times New Roman" w:hAnsi="Times New Roman" w:hint="default"/>
          <w:rtl w:val="0"/>
        </w:rPr>
        <w:t>– Ст</w:t>
      </w:r>
      <w:r>
        <w:rPr>
          <w:rFonts w:ascii="Times New Roman" w:hAnsi="Times New Roman"/>
          <w:rtl w:val="0"/>
        </w:rPr>
        <w:t>. 15.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</w:pPr>
      <w:r>
        <w:rPr>
          <w:rFonts w:ascii="Times New Roman" w:hAnsi="Times New Roman"/>
          <w:rtl w:val="0"/>
          <w:lang w:val="ru-RU"/>
        </w:rPr>
        <w:t>3.</w:t>
      </w:r>
      <w:r>
        <w:rPr>
          <w:rFonts w:ascii="Times New Roman" w:hAnsi="Times New Roman" w:hint="default"/>
          <w:rtl w:val="0"/>
          <w:lang w:val="ru-RU"/>
        </w:rPr>
        <w:t>Постановление Пленума Верховного Суда РФ «О практике применения судами норм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регламентирующих участие защитника в уголовном судопроизводстве» от </w:t>
      </w:r>
      <w:r>
        <w:rPr>
          <w:rFonts w:ascii="Times New Roman" w:hAnsi="Times New Roman"/>
          <w:rtl w:val="0"/>
        </w:rPr>
        <w:t xml:space="preserve">30.06.2015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29 // </w:t>
      </w:r>
      <w:r>
        <w:rPr>
          <w:rFonts w:ascii="Times New Roman" w:hAnsi="Times New Roman" w:hint="default"/>
          <w:rtl w:val="0"/>
          <w:lang w:val="ru-RU"/>
        </w:rPr>
        <w:t>Бюллетень Верховного Суда РФ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2015. </w:t>
      </w:r>
      <w:r>
        <w:rPr>
          <w:rFonts w:ascii="Times New Roman" w:hAnsi="Times New Roman" w:hint="default"/>
          <w:rtl w:val="0"/>
        </w:rPr>
        <w:t>– №</w:t>
      </w:r>
      <w:r>
        <w:rPr>
          <w:rFonts w:ascii="Times New Roman" w:hAnsi="Times New Roman"/>
          <w:rtl w:val="0"/>
        </w:rPr>
        <w:t xml:space="preserve">8. </w:t>
      </w:r>
      <w:r>
        <w:rPr>
          <w:rFonts w:ascii="Times New Roman" w:hAnsi="Times New Roman" w:hint="default"/>
          <w:rtl w:val="0"/>
        </w:rPr>
        <w:t>– С</w:t>
      </w:r>
      <w:r>
        <w:rPr>
          <w:rFonts w:ascii="Times New Roman" w:hAnsi="Times New Roman"/>
          <w:rtl w:val="0"/>
        </w:rPr>
        <w:t>. 2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>10.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