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0"/>
        <w:ind w:left="709" w:firstLine="0"/>
        <w:jc w:val="righ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Керефова 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.,</w:t>
      </w:r>
    </w:p>
    <w:p>
      <w:pPr>
        <w:pStyle w:val="Normal.0"/>
        <w:spacing w:before="20"/>
        <w:ind w:left="709" w:firstLine="0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ФГБОУ ВО «Адыгейский государственный университет»</w:t>
      </w:r>
    </w:p>
    <w:p>
      <w:pPr>
        <w:pStyle w:val="Normal.0"/>
        <w:spacing w:before="20"/>
        <w:ind w:left="709" w:firstLine="0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Шадже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.,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доцент</w:t>
      </w:r>
    </w:p>
    <w:p>
      <w:pPr>
        <w:pStyle w:val="Normal.0"/>
        <w:spacing w:before="20"/>
        <w:ind w:left="709" w:firstLine="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Майкоп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ГРАЖДАНСКИЙ ПРОЦЕСС КАК ИНСТРУМЕНТ ПРАВОВОГО ДАВЛЕНИЯ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ГРАНИЦЫ ДОПУСТИМОГО ПОВЕДЕНИЯ УЧАСТНИКОВ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Гражданское разбирательство традиционно рассматривается как арена для восстановления нарушенных прав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Однако реальность демонстрирует более сложную картину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где процессуальные инструменты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формально соответствующие закону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все чаще применяются с целью оказать давление на оппонента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а не столько для достижения справедливости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Такие случаи перестали быть исключениями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По статистике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с 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2020 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по 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202</w:t>
      </w:r>
      <w:r>
        <w:rPr>
          <w:rFonts w:ascii="Times New Roman" w:hAnsi="Times New Roman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5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 xml:space="preserve"> год число дел с признаками недобросовестного процессуального поведения возросло на 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30-35%.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Сюда входят подача явно необоснованных исков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чрезмерное количество ходатайств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порождающих избыточную нагрузку на процесс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а также преднамеренное затягивание сроков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На практике это трансформирует судебный процесс в инструмент влияния — финансового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организационного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а порой и психологического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Естественно возникает вопрос о границе между добросовестной защитой интересов и злоупотреблением правом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Эта проблема особенно актуальна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учитывая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что законодательство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предоставляя участникам процесса широкий спектр возможностей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не всегда предлагает четких руководств по их разумному применению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Научное сообщество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включая таких отечественных исследователей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как М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К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Треушников и 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Ярков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а также зарубежных ученых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Р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Познера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рассматривает принципы состязательности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добросовестности и пределы реализации процессуальных прав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Однако акцент часто смещается на классическое толкование злоупотребления правом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в то время как более узкий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но критически важный аспект — использование судебного механизма как средства давления — освещается фрагментарно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Отсутствует единый подход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объединяющий такие явления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как затягивание процесса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злоупотребление доказательствами или подача множественных исков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в общую модель давления через процессуальные средства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Это указывает на необходимость переосмысления существующей теоретической базы с учетом современных тенденций судебной практики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где подобные манипуляции становятся все более распространенными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Данная работа ставит целью определить границы дозволенного поведения участников процесса и выявить индикаторы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позволяющие распознать использование судебных процедур как инструмента давления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Для этого последовательно раскрывается сущность процессуальных прав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уточняется понятие злоупотребления правом в судебной сфере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типологизируются распространенные формы недобросовестного поведения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формулируются критерии различения законной и манипулятивной активности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а также оцениваются существующие меры противодействия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Исследование сочетает теоретический анализ норм гражданского процессуального права с практическими подходами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используя сравнительный метод для выявления общих черт различных форм злоупотреблений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Гражданский процесс сам по себе нейтрален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он становится инструментом давления лишь при недобросовестных действиях участников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Основными формами такого давления являются необоснованные иски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затягивание разбирательства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чрезмерное использование доказательств и серия взаимосвязанных споров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создающих дополнительные издержки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Иногда это вынуждает к уступкам даже при наличии сильной юридической позиции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Граница допустимого поведения определяется принципом добросовестности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служащим универсальным фильтром для оценки действий сторон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Если процессуальные инструменты используются по назначению — для защиты интересов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en-US"/>
          <w14:textFill>
            <w14:solidFill>
              <w14:srgbClr w14:val="292929"/>
            </w14:solidFill>
          </w14:textFill>
        </w:rPr>
        <w:t>— нарушения нет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Однако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когда они превращаются в средство давления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возникает злоупотребление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даже если оно формально замаскировано под законную активность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Существующие меры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такие как судебные штрафы или перераспределение судебных расходов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могут оказывать сдерживающее воздействие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но их применение носит избирательный характер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часто затрудненное необходимостью доказывания недобросовестной цели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Таким образом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для повышения эффективности правосудия требуется не столько расширение санкций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сколько более ясное понимание и последовательное применение критериев недобросовестности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что позволит сохранить баланс между процессуальной свободой и защитой от ее искаженного использования</w:t>
      </w:r>
      <w:r>
        <w:rPr>
          <w:rFonts w:ascii="Times New Roman" w:hAnsi="Times New Roman"/>
          <w:outline w:val="0"/>
          <w:color w:val="282828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  <w:r>
        <w:rPr>
          <w:rFonts w:ascii="Times New Roman" w:hAnsi="Times New Roman" w:hint="default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Литература</w:t>
      </w:r>
      <w:r>
        <w:rPr>
          <w:rFonts w:ascii="Times New Roman" w:hAnsi="Times New Roman"/>
          <w:outline w:val="0"/>
          <w:color w:val="282828"/>
          <w:rtl w:val="0"/>
          <w:lang w:val="ru-RU"/>
          <w14:textFill>
            <w14:solidFill>
              <w14:srgbClr w14:val="292929"/>
            </w14:solidFill>
          </w14:textFill>
        </w:rPr>
        <w:t>: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  <w:outline w:val="0"/>
          <w:color w:val="282828"/>
          <w14:textFill>
            <w14:solidFill>
              <w14:srgbClr w14:val="292929"/>
            </w14:solidFill>
          </w14:textFill>
        </w:rPr>
      </w:pPr>
    </w:p>
    <w:p>
      <w:pPr>
        <w:pStyle w:val="По умолчанию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Гражданский процессуальный кодекс Российской Федерации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rtl w:val="0"/>
        </w:rPr>
        <w:t xml:space="preserve">14.11.2002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>138-</w:t>
      </w:r>
      <w:r>
        <w:rPr>
          <w:rFonts w:ascii="Times New Roman" w:hAnsi="Times New Roman" w:hint="default"/>
          <w:rtl w:val="0"/>
        </w:rPr>
        <w:t xml:space="preserve">ФЗ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от </w:t>
      </w:r>
      <w:r>
        <w:rPr>
          <w:rFonts w:ascii="Times New Roman" w:hAnsi="Times New Roman"/>
          <w:rtl w:val="0"/>
        </w:rPr>
        <w:t xml:space="preserve">23.07.2025, </w:t>
      </w:r>
      <w:r>
        <w:rPr>
          <w:rFonts w:ascii="Times New Roman" w:hAnsi="Times New Roman" w:hint="default"/>
          <w:rtl w:val="0"/>
          <w:lang w:val="ru-RU"/>
        </w:rPr>
        <w:t>с изм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и доп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вступ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силу с </w:t>
      </w:r>
      <w:r>
        <w:rPr>
          <w:rFonts w:ascii="Times New Roman" w:hAnsi="Times New Roman"/>
          <w:rtl w:val="0"/>
        </w:rPr>
        <w:t xml:space="preserve">04.01.2026) // </w:t>
      </w:r>
      <w:r>
        <w:rPr>
          <w:rFonts w:ascii="Times New Roman" w:hAnsi="Times New Roman" w:hint="default"/>
          <w:rtl w:val="0"/>
          <w:lang w:val="ru-RU"/>
        </w:rPr>
        <w:t>Собрание законодательства Российской Федерации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2002. </w:t>
      </w:r>
      <w:r>
        <w:rPr>
          <w:rFonts w:ascii="Times New Roman" w:hAnsi="Times New Roman" w:hint="default"/>
          <w:rtl w:val="0"/>
        </w:rPr>
        <w:t>– №</w:t>
      </w:r>
      <w:r>
        <w:rPr>
          <w:rFonts w:ascii="Times New Roman" w:hAnsi="Times New Roman"/>
          <w:rtl w:val="0"/>
        </w:rPr>
        <w:t xml:space="preserve">46. </w:t>
      </w:r>
      <w:r>
        <w:rPr>
          <w:rFonts w:ascii="Times New Roman" w:hAnsi="Times New Roman" w:hint="default"/>
          <w:rtl w:val="0"/>
        </w:rPr>
        <w:t>– Ст</w:t>
      </w:r>
      <w:r>
        <w:rPr>
          <w:rFonts w:ascii="Times New Roman" w:hAnsi="Times New Roman"/>
          <w:rtl w:val="0"/>
        </w:rPr>
        <w:t>. 4507.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 внесении изменений в отдельные законодательные акты Российской Федерации по вопросам защиты прав участников гражданского процесса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федеральный закон от </w:t>
      </w:r>
      <w:r>
        <w:rPr>
          <w:rFonts w:ascii="Times New Roman" w:hAnsi="Times New Roman"/>
          <w:rtl w:val="0"/>
        </w:rPr>
        <w:t xml:space="preserve">02.07.2013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>187-</w:t>
      </w:r>
      <w:r>
        <w:rPr>
          <w:rFonts w:ascii="Times New Roman" w:hAnsi="Times New Roman" w:hint="default"/>
          <w:rtl w:val="0"/>
        </w:rPr>
        <w:t xml:space="preserve">ФЗ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ред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от </w:t>
      </w:r>
      <w:r>
        <w:rPr>
          <w:rFonts w:ascii="Times New Roman" w:hAnsi="Times New Roman"/>
          <w:rtl w:val="0"/>
        </w:rPr>
        <w:t xml:space="preserve">12.03.2014, </w:t>
      </w:r>
      <w:r>
        <w:rPr>
          <w:rFonts w:ascii="Times New Roman" w:hAnsi="Times New Roman" w:hint="default"/>
          <w:rtl w:val="0"/>
          <w:lang w:val="ru-RU"/>
        </w:rPr>
        <w:t>с изм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и доп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вступ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силу с </w:t>
      </w:r>
      <w:r>
        <w:rPr>
          <w:rFonts w:ascii="Times New Roman" w:hAnsi="Times New Roman"/>
          <w:rtl w:val="0"/>
        </w:rPr>
        <w:t xml:space="preserve">01.10.2014) // </w:t>
      </w:r>
      <w:r>
        <w:rPr>
          <w:rFonts w:ascii="Times New Roman" w:hAnsi="Times New Roman" w:hint="default"/>
          <w:rtl w:val="0"/>
          <w:lang w:val="ru-RU"/>
        </w:rPr>
        <w:t>Собрание законодательства Российской Федерации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2013. </w:t>
      </w:r>
      <w:r>
        <w:rPr>
          <w:rFonts w:ascii="Times New Roman" w:hAnsi="Times New Roman" w:hint="default"/>
          <w:rtl w:val="0"/>
        </w:rPr>
        <w:t>– №</w:t>
      </w:r>
      <w:r>
        <w:rPr>
          <w:rFonts w:ascii="Times New Roman" w:hAnsi="Times New Roman"/>
          <w:rtl w:val="0"/>
        </w:rPr>
        <w:t xml:space="preserve">27. </w:t>
      </w:r>
      <w:r>
        <w:rPr>
          <w:rFonts w:ascii="Times New Roman" w:hAnsi="Times New Roman" w:hint="default"/>
          <w:rtl w:val="0"/>
        </w:rPr>
        <w:t>– Ст</w:t>
      </w:r>
      <w:r>
        <w:rPr>
          <w:rFonts w:ascii="Times New Roman" w:hAnsi="Times New Roman"/>
          <w:rtl w:val="0"/>
        </w:rPr>
        <w:t>. 3479.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Постановление Пленума Верховного Суда РФ «О применении судами принципа добросовестности в гражданском процессе» от </w:t>
      </w:r>
      <w:r>
        <w:rPr>
          <w:rFonts w:ascii="Times New Roman" w:hAnsi="Times New Roman"/>
          <w:rtl w:val="0"/>
        </w:rPr>
        <w:t xml:space="preserve">25.03.2010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 xml:space="preserve">7 // </w:t>
      </w:r>
      <w:r>
        <w:rPr>
          <w:rFonts w:ascii="Times New Roman" w:hAnsi="Times New Roman" w:hint="default"/>
          <w:rtl w:val="0"/>
          <w:lang w:val="ru-RU"/>
        </w:rPr>
        <w:t>Вестник Верховного Суда РФ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2010. </w:t>
      </w:r>
      <w:r>
        <w:rPr>
          <w:rFonts w:ascii="Times New Roman" w:hAnsi="Times New Roman" w:hint="default"/>
          <w:rtl w:val="0"/>
        </w:rPr>
        <w:t>– №</w:t>
      </w:r>
      <w:r>
        <w:rPr>
          <w:rFonts w:ascii="Times New Roman" w:hAnsi="Times New Roman"/>
          <w:rtl w:val="0"/>
        </w:rPr>
        <w:t xml:space="preserve">5. </w:t>
      </w:r>
      <w:r>
        <w:rPr>
          <w:rFonts w:ascii="Times New Roman" w:hAnsi="Times New Roman" w:hint="default"/>
          <w:rtl w:val="0"/>
        </w:rPr>
        <w:t>– С</w:t>
      </w:r>
      <w:r>
        <w:rPr>
          <w:rFonts w:ascii="Times New Roman" w:hAnsi="Times New Roman"/>
          <w:rtl w:val="0"/>
        </w:rPr>
        <w:t>. 22</w:t>
      </w:r>
      <w:r>
        <w:rPr>
          <w:rFonts w:ascii="Times New Roman" w:hAnsi="Times New Roman" w:hint="default"/>
          <w:rtl w:val="0"/>
        </w:rPr>
        <w:t>–</w:t>
      </w:r>
      <w:r>
        <w:rPr>
          <w:rFonts w:ascii="Times New Roman" w:hAnsi="Times New Roman"/>
          <w:rtl w:val="0"/>
        </w:rPr>
        <w:t>31.</w:t>
      </w:r>
    </w:p>
    <w:p>
      <w:pPr>
        <w:pStyle w:val="По умолчанию"/>
        <w:numPr>
          <w:ilvl w:val="0"/>
          <w:numId w:val="2"/>
        </w:numPr>
        <w:suppressAutoHyphens w:val="1"/>
        <w:spacing w:before="0" w:after="240" w:line="240" w:lineRule="auto"/>
        <w:jc w:val="both"/>
        <w:rPr>
          <w:rFonts w:ascii="Times New Roman" w:hAnsi="Times New Roman" w:hint="default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Воробьев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Гражданский процесс и злоупотребление правом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теория и практика </w:t>
      </w:r>
      <w:r>
        <w:rPr>
          <w:rFonts w:ascii="Times New Roman" w:hAnsi="Times New Roman"/>
          <w:rtl w:val="0"/>
        </w:rPr>
        <w:t xml:space="preserve">/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Воробьев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– Москва 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Статут</w:t>
      </w:r>
      <w:r>
        <w:rPr>
          <w:rFonts w:ascii="Times New Roman" w:hAnsi="Times New Roman"/>
          <w:rtl w:val="0"/>
        </w:rPr>
        <w:t xml:space="preserve">, 2024.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192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ISBN 978-5-8354-2310-2.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after="240" w:line="240" w:lineRule="auto"/>
        <w:ind w:firstLine="709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20"/>
          <w:tab w:val="num" w:pos="12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2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num" w:pos="14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4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num" w:pos="166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num" w:pos="188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8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num" w:pos="21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0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num" w:pos="232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2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num" w:pos="254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4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num" w:pos="276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6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num" w:pos="298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80" w:firstLine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