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spacing w:after="0" w:line="240"/>
        <w:ind w:firstLine="709"/>
        <w:jc w:val="center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ПРАВОВОЙ СТАТУС ЖИВОТНЫХ-КОМПАНЬОНОВ В СИСТЕМЕ СОЦИАЛЬНОГО ОБЕСПЕЧЕНИЯ</w:t>
      </w:r>
    </w:p>
    <w:p>
      <w:pPr>
        <w:spacing w:after="0" w:line="240"/>
        <w:ind w:firstLine="709"/>
        <w:jc w:val="right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Рудько М.П.,</w:t>
      </w:r>
    </w:p>
    <w:p>
      <w:pPr>
        <w:spacing w:after="0" w:line="240"/>
        <w:ind w:firstLine="709"/>
        <w:jc w:val="right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ФГБОУ ВО «Адыгейский Государственный университет», г.Майкоп</w:t>
      </w:r>
    </w:p>
    <w:p>
      <w:pPr>
        <w:spacing w:after="0" w:line="240"/>
        <w:ind w:firstLine="709"/>
        <w:jc w:val="right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Научный руководитель: Меретукова М. А., старший </w:t>
      </w:r>
      <w:r>
        <w:rPr>
          <w:rFonts w:ascii="Times New Roman" w:cs="Times New Roman" w:hAnsi="Times New Roman"/>
          <w:sz w:val="24"/>
          <w:szCs w:val="24"/>
          <w:lang w:val="ru-RU"/>
        </w:rPr>
        <w:t>преподаватель кафедры гражданского права и гражданского процесса</w:t>
      </w:r>
      <w:r>
        <w:rPr>
          <w:rFonts w:ascii="Times New Roman" w:cs="Times New Roman" w:hAnsi="Times New Roman"/>
          <w:sz w:val="24"/>
          <w:szCs w:val="24"/>
          <w:lang w:val="ru-RU"/>
        </w:rPr>
        <w:t>,</w:t>
      </w:r>
    </w:p>
    <w:p>
      <w:pPr>
        <w:spacing w:after="0" w:line="240"/>
        <w:ind w:firstLine="709"/>
        <w:jc w:val="right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ФГБОУ ВО «Адыгейский Государственный университет», г.Майкоп</w:t>
      </w:r>
    </w:p>
    <w:p>
      <w:pPr>
        <w:spacing w:after="0" w:line="240"/>
        <w:ind w:firstLine="709"/>
        <w:jc w:val="right"/>
        <w:rPr>
          <w:rFonts w:ascii="Times New Roman" w:cs="Times New Roman" w:hAnsi="Times New Roman"/>
          <w:sz w:val="24"/>
          <w:szCs w:val="24"/>
          <w:lang w:val="ru-RU"/>
        </w:rPr>
      </w:pPr>
    </w:p>
    <w:p>
      <w:pPr>
        <w:spacing w:after="0" w:line="240"/>
        <w:ind w:firstLine="709"/>
        <w:jc w:val="both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Актуальность темы обусловлена кардинальной трансформацией отношения общества к домашним животным, которые в последние десятилетия всё чаще воспринимаются не просто как имущество, а как полноправные члены семьи. Данный сдвиг в общественном сознании требует адекватного правового реагирования. В России с 1 января 2020 года действует Федеральный закон от 27.12.2018 № 498</w:t>
        <w:noBreakHyphen/>
        <w:t>ФЗ «Об ответственном обращении с животными и о внесении изменений в отдельные законодательные акты Российской Федерации» [</w:t>
      </w:r>
      <w:r>
        <w:rPr>
          <w:rFonts w:ascii="Times New Roman" w:cs="Times New Roman" w:hAnsi="Times New Roman"/>
          <w:sz w:val="24"/>
          <w:szCs w:val="24"/>
          <w:lang w:val="ru-RU"/>
        </w:rPr>
        <w:t>2</w:t>
      </w:r>
      <w:r>
        <w:rPr>
          <w:rFonts w:ascii="Times New Roman" w:cs="Times New Roman" w:hAnsi="Times New Roman"/>
          <w:sz w:val="24"/>
          <w:szCs w:val="24"/>
          <w:lang w:val="ru-RU"/>
        </w:rPr>
        <w:t>]. Однако этот закон преимущественно регулирует общие правила обращения с животными и практически не затрагивает их статус в системе социального обеспечения, оставляя множество вопросов открытыми. В то же время в зарубежных правопорядках наблюдается устойчивая тенденция к интеграции животных-компаньонов в механизмы социальной защиты. В этих условиях анализ правового статуса животных-компаньонов в системе социального обеспечения и выработка предложений по его совершенствованию приобретают особую актуальность и практическую значимость.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В российской юридической науке проблемы правового статуса животных получили определенное освещение. Так, анализу гражданско-правового режима животных посвящены работы А.М. Житневой и Д.А. Колосовой, рассматривающих парадигмальный сдвиг в сторону признания прав животных. Вопросы правового регулирования обращения с безнадзорными животными анализируются в контексте норм Гражданского кодекса и Федерального закона № 498-ФЗ. Однако системные исследования, посвященные именно статусу животных-компаньонов в системе социального обеспечения, в российской науке практически отсутствуют.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Целью данного исследования является анализ правовой статус животных-компаньонов в системе социального обеспечения Российской Федерации и разработка предложений по его совершенствованию с учётом зарубежного опыта.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Для достижения указанной цели были поставлены следующие задачи: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1) изучить действующее российское законодательство, касающейся правового положения животных-компаньонов; 2) п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роанализировать зарубежные модели социальной поддержки владельцев животных-компаньонов; 3) с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формулировать конкретные предложения по внесению изменений в российское законодательство и разработке пилотных программ социальной поддержки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Методологическую основу исследования составили общенаучные методы и частнонаучные методы: формально-юридический, сравнительно-правовой, а также метод правового моделирования.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На данный момент правовой статус животных-компаньонов в системе социального обеспечения России характеризуется дуализмом: с одной стороны, статья 137 ГК РФ относит животных к объектам гражданских прав,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допуская применение к ним общих положений о вещах </w:t>
      </w:r>
      <w:r>
        <w:rPr>
          <w:rFonts w:ascii="Times New Roman" w:cs="Times New Roman" w:hAnsi="Times New Roman"/>
          <w:sz w:val="24"/>
          <w:szCs w:val="24"/>
          <w:lang w:val="ru-RU"/>
        </w:rPr>
        <w:t>[1]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а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с другой — в рамках социального обеспечения животные могут выступать в качестве носителей социально-значимых функций, что требует отхода от их сугубо имущественного статуса.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Федеральный закон № 498-ФЗ не закрепляет понятие «животные-компаньоны» и их правовой статус в системе социального обеспечения остаётся прямо не определённым. В законодательстве отсутствуют нормы, предусматривающие социальные выплаты на содержание животных-компаньонов для малоимущих граждан, лиц с инвалидностью или пожилых людей, что зачастую </w:t>
      </w:r>
      <w:r>
        <w:rPr>
          <w:rFonts w:ascii="Times New Roman" w:cs="Times New Roman" w:hAnsi="Times New Roman"/>
          <w:sz w:val="24"/>
          <w:szCs w:val="24"/>
          <w:lang w:val="ru-RU"/>
        </w:rPr>
        <w:t>не соответствует их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фактической социальной роли в жизни человека.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Наиболее развитым в России институтом является обеспечение инвалидов по зрению собаками-поводырями. Как следует из практики, для получения собаки-поводыря необходимо обратиться с заявлением в клиентскую службу Социального фонда, указав в анкете пожелания относительно характера и породы животного. Данная мера, однако, является скорее исключением, чем системой, и распространяется только на узкую категорию граждан.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 зарубежной практике есть примеры развитого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регулирования статуса животных-компаньонов, в особенности животных-ассистентов. Так, в Австралии в рамках Национальной схемы страхования инвалидности животные-ассистенты признаются в качестве вспомогательных технологий и подлежат финансированию из средств социального обеспечения при условии соответствия </w:t>
      </w:r>
      <w:r>
        <w:rPr>
          <w:rFonts w:ascii="Times New Roman" w:cs="Times New Roman" w:hAnsi="Times New Roman"/>
          <w:sz w:val="24"/>
          <w:szCs w:val="24"/>
          <w:lang w:val="ru-RU"/>
        </w:rPr>
        <w:t>специальным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критериям. При этом животные для эмоциональной поддержки и обычные животные-компаньоны не подлежат государственному финансированию </w:t>
      </w:r>
      <w:r>
        <w:rPr>
          <w:rFonts w:ascii="Times New Roman" w:cs="Times New Roman" w:hAnsi="Times New Roman"/>
          <w:sz w:val="24"/>
          <w:szCs w:val="24"/>
          <w:lang w:val="ru-RU"/>
        </w:rPr>
        <w:t>[3]</w:t>
      </w:r>
      <w:r>
        <w:rPr>
          <w:rFonts w:ascii="Times New Roman" w:cs="Times New Roman" w:hAnsi="Times New Roman"/>
          <w:sz w:val="24"/>
          <w:szCs w:val="24"/>
          <w:lang w:val="ru-RU"/>
        </w:rPr>
        <w:t>. В Японии есть подобный закон, который коснулся именно собак-ассистентов. А в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Южной Корее с 2025 г. действуют субсидии на ветеринарные услуги для малоимущих владельцев животных, а с 2026 г. — ежегодные выплаты семьям, усыновившим вышедших на пенсию служебных собак (до 1 млн вон).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В США на уровне отдельных штатов (например, Нью-Йорк) разрабатываются программы совместного проживания людей, оказавшихся в трудной жизненной ситуации, с их животными-компаньонами (co-sheltering) </w:t>
      </w:r>
      <w:r>
        <w:rPr>
          <w:rFonts w:ascii="Times New Roman" w:cs="Times New Roman" w:hAnsi="Times New Roman"/>
          <w:sz w:val="24"/>
          <w:szCs w:val="24"/>
          <w:lang w:val="ru-RU"/>
        </w:rPr>
        <w:t>[4]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Проведённое исследование позволяет сделать вывод о необходимости дифференцированного подхода к включению животных в систему социального обеспечения. </w:t>
      </w:r>
      <w:r>
        <w:rPr>
          <w:rFonts w:ascii="Times New Roman" w:cs="Times New Roman" w:hAnsi="Times New Roman"/>
          <w:sz w:val="24"/>
          <w:szCs w:val="24"/>
          <w:lang w:val="ru-RU"/>
        </w:rPr>
        <w:t>Мы предлагаем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выделить три категории: а) животные-компаньоны (общая категория); б) животные-ассистенты (прошедшие специальную подготовку и аккредитацию); в)животные для эмоциональной поддержки (категория для которой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не требуется </w:t>
      </w:r>
      <w:r>
        <w:rPr>
          <w:rFonts w:ascii="Times New Roman" w:cs="Times New Roman" w:hAnsi="Times New Roman"/>
          <w:sz w:val="24"/>
          <w:szCs w:val="24"/>
          <w:lang w:val="ru-RU"/>
        </w:rPr>
        <w:t>аккредитация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). Для российской правовой системы целесообразным представляется: 1) законодательное закрепление понятий указанных выше и критериев для их разграничения; 2) включение расходов на содержание и ветеринарное обслуживание животных-ассистентов в перечень социальных услуг, предоставляемых за счёт средств федерального бюджета лицам с инвалидностью; 3) расширение списка категорий граждан, имеющих право на обеспечение животными-ассистентами; 4) </w:t>
      </w:r>
      <w:r>
        <w:rPr>
          <w:rFonts w:ascii="Times New Roman" w:cs="Times New Roman" w:hAnsi="Times New Roman"/>
          <w:sz w:val="24"/>
          <w:szCs w:val="24"/>
          <w:lang w:val="ru-RU"/>
        </w:rPr>
        <w:t>разработка пилотных программ социальной поддержки владельцев животных-компаньонов из числа малоимущих граждан и пожилых людей, включая субсидирование ветеринарной помощи и предоставление кормов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ru-RU"/>
        </w:rPr>
        <w:t>Реализация указанных мер позволит продвинуть российское законодательство вперёд в международной практике и обеспечить реализацию социальной функции животных-компаньонов.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</w:p>
    <w:p>
      <w:pPr>
        <w:spacing w:after="0" w:line="240"/>
        <w:ind w:firstLine="709"/>
        <w:jc w:val="center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Список литературы: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1. Гражданский кодекс Российской Федерации (часть первая) от 30.11.1994 № 51-ФЗ (ред. от 25.03.2026) // Собрание законодательства РФ. 1994. № 32. Ст. 3301.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2. Федеральный закон от 27 декабря 2018 г. № 498-ФЗ «Об ответственном обращении с животными и о внесении изменений в отдельные законодательные акты Российской Федерации» (с изм. и доп. от 31 июля 2025 г.) // Собрание законодательства РФ. 2018. № 53 (часть I). Ст. 8424.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3. Сиваков Д.О. Гуманное обращение с животными по законодательству зарубежных государств // Журнал зарубежного законодательства и сравнительного правоведения. 2020. № 5. URL: https://cyberleninka.ru/article/n/gumannoe-obraschenie-s-zhivotnymi-po-zakonodatelstvu-zarubezhnyh-gosudarstv (дата обращения: 02.04.2026).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4. Филимонова И.В. Правовое регулирование содержания домашних животных: опыт зарубежных стран (на примере Германии и США) // Политика, государство и право. 2014. № 12. URL: https://politika.snauka.ru/2014/12/2139 (дата обращения: 02.04.2026).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sectPr>
      <w:footnotePr/>
      <w:type w:val="nextPage"/>
      <w:pgSz w:w="11906" w:h="16838" w:orient="portrait"/>
      <w:pgMar w:top="1134" w:right="1134" w:bottom="1134" w:left="1134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