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8F1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199" w:firstLineChars="83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strike w:val="0"/>
          <w:dstrike w:val="0"/>
          <w:color w:val="000000"/>
          <w:spacing w:val="0"/>
          <w:kern w:val="0"/>
          <w:sz w:val="24"/>
          <w:szCs w:val="24"/>
          <w:highlight w:val="none"/>
          <w:bdr w:val="none" w:color="auto" w:sz="0" w:space="0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strike w:val="0"/>
          <w:dstrike w:val="0"/>
          <w:color w:val="000000"/>
          <w:spacing w:val="0"/>
          <w:sz w:val="24"/>
          <w:szCs w:val="24"/>
          <w:highlight w:val="none"/>
          <w:shd w:val="clear" w:color="auto" w:fill="auto"/>
        </w:rPr>
        <w:t>НЕЙРОСЕТИ НА СКАМЬЕ ПОДСУДИМЫХ: ОТВЕТСТВЕННОСТЬ ЗА ДИПФЕЙКИ, ПОРНОГРАФИЮ И ФАЛЬШИВЫЕ ДОКАЗАТЕЛЬСТВА. КОГДА ИИ СТАНОВИТСЯ НЕ ПРОСТО ОРУДИЕМ, А СОУЧАСТНИКОМ ПРЕСТУПЛЕНИЯ?</w:t>
      </w:r>
    </w:p>
    <w:p w14:paraId="29CD15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232" w:firstLineChars="83"/>
        <w:jc w:val="both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strike w:val="0"/>
          <w:dstrike w:val="0"/>
          <w:color w:val="000000"/>
          <w:spacing w:val="0"/>
          <w:kern w:val="0"/>
          <w:sz w:val="28"/>
          <w:szCs w:val="28"/>
          <w:highlight w:val="none"/>
          <w:bdr w:val="none" w:color="auto" w:sz="0" w:space="0"/>
          <w:shd w:val="clear" w:color="auto" w:fill="auto"/>
          <w:lang w:val="en-US" w:eastAsia="zh-CN" w:bidi="ar"/>
        </w:rPr>
      </w:pPr>
    </w:p>
    <w:p w14:paraId="22DB70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199" w:firstLineChars="83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3A76CD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>Гиш М.А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,</w:t>
      </w:r>
    </w:p>
    <w:p w14:paraId="5AA2EE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ФГБОУ ВО «Адыгейский Государственный университет», г.Майкоп</w:t>
      </w:r>
    </w:p>
    <w:p w14:paraId="4DE4B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Научный руководитель: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Хачак Б.Н.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>д.ю.н., доцент,</w:t>
      </w:r>
    </w:p>
    <w:p w14:paraId="0F3A1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240" w:lineRule="auto"/>
        <w:ind w:left="0" w:right="0" w:firstLine="0"/>
        <w:jc w:val="right"/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ФГБОУ ВО «Адыгейский Государственный университет», г.Майкоп</w:t>
      </w:r>
    </w:p>
    <w:p w14:paraId="5EDB4F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7865AF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4150CF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436" w:firstLineChars="18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Стремительное развитие генеративных нейросетей открыло эпоху, когда отличить реальность от искусно созданной подделки становится практически невозможно. Дипфейки — синтезированные с помощью алгоритмов глубокого обучения видео, аудио и изображения — превратились из безобидной забавы в грозное оружие в руках преступников. Особая опасность дипфейков заключается в их беспрецедентной доступности: сегодня практически любой пользователь смартфона может создать поддельное видео за короткое время с помощью мобильных приложений.</w:t>
      </w:r>
    </w:p>
    <w:p w14:paraId="0D3866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199" w:firstLineChars="83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76706B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436" w:firstLineChars="18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Дипфейки как орудие мошенничества и манипуляции. Использование дипфейк-технологий в преступных целях уже приобрело масштабную распространённость. В России мошенники активно осваивают эту технологию: по данным МВД Краснодарского края, в 2025 году общий ущерб от киберпреступлений превысил 6 млрд рублей. Злоумышленники подделывают голоса и внешность близких и друзей жертвы, а также выдают себя за сотрудников госучреждений и высших должностных лиц. Суть преступления остаётся неизменной — преднамеренное создание фальшивых изображений, видео или голосовых записей с целью ввести в заблуждение, но технология многократно усиливает общественную опасность деяния.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06DB4E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436" w:firstLineChars="18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Дипфейк-порнография: новая грань цифрового насилия. Возможность нейросетей генерировать гипер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реалистичные изображения открыла для злоумышленников новые горизонты для совершения циничных преступлений. Технология позволяет накладывать лица реальных людей на тела порноактеров, создавая глубоко травмирующий контент. В Липецкой области осудят 48-летнего жителя Задонского округа, которого обвиняют в создании, публикации и распространении дипфейков в интернете. Мужчина создал в соцсети группу и публиковал эротические фотоколлажи, используя фотографии потерпевших. Ему вменили часть 2 статьи 128.1 УК («Распространение в интернете ложных сведений, порочащих честь и достоинство другого лица») и пункт «б» части 3 статьи 242 УК — за незаконное изготовление и распространение в Сети порнографических материалов. По словам юриста , для закона не имеет значения, реальные ли актёры изображены в ролике или они сгенерированы нейросетью: любое излишне натуралистичное изображение подпадает под 242-ю статью УК РФ. Создателю дипфейка грозит до шести лет лишения свободы. Кроме того, уголовная ответственность по порнодипфейкам наступает с 16 лет (ч. 1 ст. 20 УК РФ). [1]</w:t>
      </w:r>
    </w:p>
    <w:p w14:paraId="36D644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199" w:firstLineChars="83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 w14:paraId="4B4818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436" w:firstLineChars="18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Фальшивые доказательства: смертельный удар по правосудию. Самым опасным применением дипфейков в уголовном контексте является фальсификация доказательств. Поддельная видеозапись, представленная в суде, способна не только оклеветать невиновного, но и оправдать действительного преступника, поставив под сомнение саму основу правосудия — достоверность улик.  Единственным правовым механизмом, с помощью которого можно бороться с дипфейк-доказательствами, является институт заявления о фальсификации доказательств, однако в ряде случаев данных мер может быть недостаточно.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59967B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436" w:firstLineChars="18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Сегодня правоприменительная практика идёт по пути квалификации дипфейк-преступлений по уже существующим статьям. За мошенничество с использованием поддельного голоса или видео отвечают по ст. 159 УК РФ, за подделку изображения в корыстных целях — по ст. 158 (кража) и 163 (вымогательство). За распространение порнографических дипфейков — по ст. 242 УК РФ и 128.1 УК РФ. Однако отсутствие специального статуса дипфейка как отягчающего обстоятельства приводит к тому, что суд не всегда может учесть повышенную общественную опасность именно технологического способа совершения преступления. За 2025 год было возбуждено 29 уголовных дел, связанных с дипфейками, тогда как в 2023 и 2024 годах подобных дел не было вовсе. Цифра эта, очевидно, будет расти, ведь нейросетевые средства создания контента стали легкодоступны и достаточно совершенны.[1]</w:t>
      </w:r>
    </w:p>
    <w:p w14:paraId="5A9A1B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556" w:firstLineChars="23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 w:themeFill="background1"/>
        </w:rPr>
      </w:pPr>
    </w:p>
    <w:p w14:paraId="23FB80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556" w:firstLineChars="23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 w:themeFill="background1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 w:themeFill="background1"/>
        </w:rPr>
        <w:t>Главный теоретический и правоприменительный вопрос, который обнажает проблема использования нейросетей в преступных целях, может быть сформулирован следующим образом: где проходит грань, отделяющая нейросеть как пассивный инструмент в руках преступника от нейросети как активного «соучастника»? Согласно действующему российскому уголовному праву, субъектом преступления может быть только физическое вменяемое лицо. Искусственный интеллект не обладает правосубъектностью, а следовательно, формально не может быть признан соучастником преступления. Однако ряд учёных и практиков указывают на то, что при определённых моделях взаимодействия человека и ИИ традиционные конструкции соучастия могут оказаться неприменимыми.</w:t>
      </w:r>
    </w:p>
    <w:p w14:paraId="50DA03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556" w:firstLineChars="23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 w:themeFill="background1"/>
        </w:rPr>
      </w:pPr>
    </w:p>
    <w:p w14:paraId="47D4CA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556" w:firstLineChars="232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 w:themeFill="background1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 w:themeFill="background1"/>
          <w:lang w:val="en-US" w:eastAsia="zh-CN" w:bidi="ar"/>
        </w:rPr>
        <w:t>Российское уголовное право пока не готово признать ИИ субъектом преступления. Однако оно вынуждено адаптироваться, криминализируя деяния, совершаемые с помощью ИИ, и расширяя основания ответственности за сам факт незаконной алгоритмической обработки данных. Грань между инструментом и соучастием — это не статичная черта, а подвижная линия фронта, где сражаются технологический прогресс и человеческая мораль. Ясно одно: правовая система должна эволюционировать вместе с технологиями, чтобы не оказаться бессильной перед лицом новых угроз.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 w:themeFill="background1"/>
          <w:lang w:val="en-US" w:eastAsia="zh-CN" w:bidi="ar"/>
        </w:rPr>
        <w:br w:type="textWrapping"/>
      </w:r>
    </w:p>
    <w:p w14:paraId="63F6A1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199" w:firstLineChars="83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 w:themeFill="background1"/>
        </w:rPr>
      </w:pPr>
    </w:p>
    <w:p w14:paraId="271DCD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200" w:leftChars="100" w:right="0" w:firstLine="199" w:firstLineChars="83"/>
        <w:jc w:val="center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 w:themeFill="background1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 w:themeFill="background1"/>
          <w:lang w:val="ru-RU"/>
        </w:rPr>
        <w:t>Литература:</w:t>
      </w:r>
    </w:p>
    <w:p w14:paraId="2138B89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 w:themeFill="background1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Уголовный кодекс Российской Федерации от 13.06.1996 № 63-ФЗ (ред. от 28.12.2024). – Доступ из справ.-правовой системы «КонсультантПлюс».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О внесении изменений в Уголовный кодекс Российской Федерации и статью 151 Уголовно-процессуального кодекса Российской Ф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едерации : Федеральный закон от 23.03.2024 № 421-ФЗ. – Доступ из справ.-правовой системы «КонсультантПлюс».</w:t>
      </w:r>
    </w:p>
    <w:p w14:paraId="2681076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О внесении изменений в Уголовный кодекс Российской Федерации (в части установления отягчающего обстоятельства – совершения преступления с использованием технологий искусственного интеллекта (дипфейков)) : проект федерального закона / подготовлен депутатами Государственной Думы (февраль 2026 г.). – Текст : электронный // Система обеспечения законодательной деятельности. – URL: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instrText xml:space="preserve"> HYPERLINK "https://vk.com/away.php?to=https://sozd.duma.gov.ru/&amp;utf=1" \t "https://vk.com/im/convo/_blank"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t>https://sozd.duma.gov.ru/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4"/>
          <w:szCs w:val="24"/>
          <w:u w:val="none"/>
          <w:shd w:val="clear" w:fill="FFFFFF"/>
        </w:rPr>
        <w:fldChar w:fldCharType="end"/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4149B"/>
    <w:multiLevelType w:val="singleLevel"/>
    <w:tmpl w:val="B734149B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7C74"/>
    <w:rsid w:val="58D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2026-04-08T15:42:00Z</dcterms:created>
  <dc:creator>Nail Mi</dc:creator>
  <cp:lastModifiedBy>Nail Mi</cp:lastModifiedBy>
  <dcterms:modified xsi:type="dcterms:W3CDTF">2026-04-09T18:24:08Z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04F3E64442AD49968EBEF6BCAF9905C1_11</vt:lpwstr>
  </property>
</Properties>
</file>